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0" w:rsidRPr="00D508E6" w:rsidRDefault="002209A3" w:rsidP="00050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38E5" w:rsidRPr="00D508E6">
        <w:rPr>
          <w:b/>
          <w:sz w:val="28"/>
          <w:szCs w:val="28"/>
        </w:rPr>
        <w:t xml:space="preserve">Информационно-статистический обзор </w:t>
      </w:r>
      <w:proofErr w:type="gramStart"/>
      <w:r w:rsidR="006738E5" w:rsidRPr="00D508E6">
        <w:rPr>
          <w:b/>
          <w:sz w:val="28"/>
          <w:szCs w:val="28"/>
        </w:rPr>
        <w:t>рассмотренных</w:t>
      </w:r>
      <w:proofErr w:type="gramEnd"/>
      <w:r w:rsidR="006738E5"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>за</w:t>
      </w:r>
      <w:r w:rsidR="005260F9">
        <w:rPr>
          <w:b/>
          <w:sz w:val="28"/>
          <w:szCs w:val="28"/>
        </w:rPr>
        <w:t xml:space="preserve"> </w:t>
      </w:r>
      <w:r w:rsidR="00EE2927">
        <w:rPr>
          <w:b/>
          <w:sz w:val="28"/>
          <w:szCs w:val="28"/>
        </w:rPr>
        <w:t>3</w:t>
      </w:r>
      <w:r w:rsidR="00153B90">
        <w:rPr>
          <w:b/>
          <w:sz w:val="28"/>
          <w:szCs w:val="28"/>
        </w:rPr>
        <w:t xml:space="preserve"> квартал 2017</w:t>
      </w:r>
      <w:r w:rsidR="00185F38">
        <w:rPr>
          <w:b/>
          <w:sz w:val="28"/>
          <w:szCs w:val="28"/>
        </w:rPr>
        <w:t xml:space="preserve"> год</w:t>
      </w:r>
      <w:r w:rsidR="00153B90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982FB9">
        <w:rPr>
          <w:b/>
          <w:sz w:val="28"/>
          <w:szCs w:val="28"/>
        </w:rPr>
        <w:t>Екатериновского</w:t>
      </w:r>
      <w:r w:rsidR="00BF549D">
        <w:rPr>
          <w:b/>
          <w:sz w:val="28"/>
          <w:szCs w:val="28"/>
        </w:rPr>
        <w:t xml:space="preserve"> сельского поселения Сальского</w:t>
      </w:r>
      <w:r w:rsidR="00293A62">
        <w:rPr>
          <w:b/>
          <w:sz w:val="28"/>
          <w:szCs w:val="28"/>
        </w:rPr>
        <w:t xml:space="preserve"> </w:t>
      </w:r>
      <w:r w:rsidRPr="00D508E6">
        <w:rPr>
          <w:b/>
          <w:sz w:val="28"/>
          <w:szCs w:val="28"/>
        </w:rPr>
        <w:t>района</w:t>
      </w: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D1C86">
        <w:rPr>
          <w:sz w:val="28"/>
          <w:szCs w:val="28"/>
        </w:rPr>
        <w:t>3</w:t>
      </w:r>
      <w:r w:rsidR="00153B90">
        <w:rPr>
          <w:sz w:val="28"/>
          <w:szCs w:val="28"/>
        </w:rPr>
        <w:t xml:space="preserve"> квартал 2017 года </w:t>
      </w:r>
      <w:r w:rsidR="00293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</w:t>
      </w:r>
      <w:r w:rsidR="00982FB9">
        <w:rPr>
          <w:sz w:val="28"/>
          <w:szCs w:val="28"/>
        </w:rPr>
        <w:t>Екатериновского</w:t>
      </w:r>
      <w:r w:rsidR="00BF549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="000503D0" w:rsidRPr="000B5A7C">
        <w:rPr>
          <w:sz w:val="28"/>
          <w:szCs w:val="28"/>
        </w:rPr>
        <w:t xml:space="preserve"> района </w:t>
      </w:r>
      <w:r w:rsidR="000503D0" w:rsidRPr="00CA1498">
        <w:rPr>
          <w:b/>
          <w:sz w:val="28"/>
          <w:szCs w:val="28"/>
        </w:rPr>
        <w:t xml:space="preserve">поступило </w:t>
      </w:r>
      <w:r w:rsidR="007D1C86">
        <w:rPr>
          <w:b/>
          <w:sz w:val="28"/>
          <w:szCs w:val="28"/>
        </w:rPr>
        <w:t>17</w:t>
      </w:r>
      <w:r w:rsidR="001766B8">
        <w:rPr>
          <w:b/>
          <w:sz w:val="28"/>
          <w:szCs w:val="28"/>
        </w:rPr>
        <w:t xml:space="preserve"> </w:t>
      </w:r>
      <w:r w:rsidR="000503D0" w:rsidRPr="00CA1498">
        <w:rPr>
          <w:b/>
          <w:sz w:val="28"/>
          <w:szCs w:val="28"/>
        </w:rPr>
        <w:t>обращени</w:t>
      </w:r>
      <w:r w:rsidR="00153B90">
        <w:rPr>
          <w:b/>
          <w:sz w:val="28"/>
          <w:szCs w:val="28"/>
        </w:rPr>
        <w:t xml:space="preserve">й </w:t>
      </w:r>
      <w:r w:rsidR="000503D0" w:rsidRPr="00CA1498">
        <w:rPr>
          <w:b/>
          <w:sz w:val="28"/>
          <w:szCs w:val="28"/>
        </w:rPr>
        <w:t>граждан</w:t>
      </w:r>
      <w:r w:rsidR="005451BD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содержащих </w:t>
      </w:r>
      <w:r w:rsidR="007D1C86">
        <w:rPr>
          <w:sz w:val="28"/>
          <w:szCs w:val="28"/>
        </w:rPr>
        <w:t>17</w:t>
      </w:r>
      <w:r w:rsidR="005451BD" w:rsidRPr="005451BD">
        <w:rPr>
          <w:sz w:val="28"/>
          <w:szCs w:val="28"/>
        </w:rPr>
        <w:t xml:space="preserve"> вопрос</w:t>
      </w:r>
      <w:r w:rsidR="007D1C86">
        <w:rPr>
          <w:sz w:val="28"/>
          <w:szCs w:val="28"/>
        </w:rPr>
        <w:t>ов</w:t>
      </w:r>
      <w:r w:rsidR="005451BD">
        <w:rPr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</w:t>
      </w:r>
      <w:r w:rsidR="00153B90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7D1C86">
        <w:rPr>
          <w:sz w:val="28"/>
          <w:szCs w:val="28"/>
        </w:rPr>
        <w:t>3</w:t>
      </w:r>
      <w:r w:rsidR="00153B90">
        <w:rPr>
          <w:sz w:val="28"/>
          <w:szCs w:val="28"/>
        </w:rPr>
        <w:t xml:space="preserve"> квартал 201</w:t>
      </w:r>
      <w:r w:rsidR="007D1C86">
        <w:rPr>
          <w:sz w:val="28"/>
          <w:szCs w:val="28"/>
        </w:rPr>
        <w:t>7</w:t>
      </w:r>
      <w:r w:rsidR="00153B90">
        <w:rPr>
          <w:sz w:val="28"/>
          <w:szCs w:val="28"/>
        </w:rPr>
        <w:t xml:space="preserve"> года</w:t>
      </w:r>
      <w:r w:rsidR="00185F38">
        <w:rPr>
          <w:sz w:val="28"/>
          <w:szCs w:val="28"/>
        </w:rPr>
        <w:t xml:space="preserve"> </w:t>
      </w:r>
      <w:r w:rsidR="005451BD">
        <w:rPr>
          <w:sz w:val="28"/>
          <w:szCs w:val="28"/>
        </w:rPr>
        <w:t xml:space="preserve"> обращений на</w:t>
      </w:r>
      <w:r w:rsidR="002209A3">
        <w:rPr>
          <w:sz w:val="28"/>
          <w:szCs w:val="28"/>
        </w:rPr>
        <w:t xml:space="preserve"> </w:t>
      </w:r>
      <w:r w:rsidR="001766B8">
        <w:rPr>
          <w:color w:val="FF0000"/>
          <w:sz w:val="28"/>
          <w:szCs w:val="28"/>
        </w:rPr>
        <w:t xml:space="preserve"> </w:t>
      </w:r>
      <w:r w:rsidR="007D1C86">
        <w:rPr>
          <w:sz w:val="28"/>
          <w:szCs w:val="28"/>
        </w:rPr>
        <w:t>85</w:t>
      </w:r>
      <w:r>
        <w:rPr>
          <w:sz w:val="28"/>
          <w:szCs w:val="28"/>
        </w:rPr>
        <w:t xml:space="preserve">% </w:t>
      </w:r>
      <w:r w:rsidR="004C43E3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(</w:t>
      </w:r>
      <w:r w:rsidR="007D1C86">
        <w:rPr>
          <w:sz w:val="28"/>
          <w:szCs w:val="28"/>
        </w:rPr>
        <w:t>17</w:t>
      </w:r>
      <w:r>
        <w:rPr>
          <w:sz w:val="28"/>
          <w:szCs w:val="28"/>
        </w:rPr>
        <w:t>), чем за</w:t>
      </w:r>
      <w:r w:rsidR="005260F9">
        <w:rPr>
          <w:sz w:val="28"/>
          <w:szCs w:val="28"/>
        </w:rPr>
        <w:t xml:space="preserve"> </w:t>
      </w:r>
      <w:r w:rsidR="007D1C86">
        <w:rPr>
          <w:sz w:val="28"/>
          <w:szCs w:val="28"/>
        </w:rPr>
        <w:t>3</w:t>
      </w:r>
      <w:r w:rsidR="00153B90">
        <w:rPr>
          <w:sz w:val="28"/>
          <w:szCs w:val="28"/>
        </w:rPr>
        <w:t xml:space="preserve"> квартал 201</w:t>
      </w:r>
      <w:r w:rsidR="007D1C86">
        <w:rPr>
          <w:sz w:val="28"/>
          <w:szCs w:val="28"/>
        </w:rPr>
        <w:t>6</w:t>
      </w:r>
      <w:r w:rsidR="00153B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="007D1C86">
        <w:rPr>
          <w:sz w:val="28"/>
          <w:szCs w:val="28"/>
        </w:rPr>
        <w:t>20</w:t>
      </w:r>
      <w:r w:rsidR="001766B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2AC02EF2" wp14:editId="29D5C90A">
                  <wp:extent cx="3071813" cy="20478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098E5748" wp14:editId="34B7260C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982FB9">
        <w:rPr>
          <w:sz w:val="28"/>
          <w:szCs w:val="28"/>
        </w:rPr>
        <w:t>Екатериновского</w:t>
      </w:r>
      <w:r w:rsidR="00293A62">
        <w:rPr>
          <w:sz w:val="28"/>
          <w:szCs w:val="28"/>
        </w:rPr>
        <w:t xml:space="preserve"> </w:t>
      </w:r>
      <w:r w:rsidR="004C43E3">
        <w:rPr>
          <w:sz w:val="28"/>
          <w:szCs w:val="28"/>
        </w:rPr>
        <w:t>сельского поселения</w:t>
      </w:r>
      <w:r w:rsidRPr="00657DE1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4300</w:t>
      </w:r>
      <w:r w:rsidR="002209A3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>жителей на 1 января 201</w:t>
      </w:r>
      <w:r w:rsidR="00B97E11">
        <w:rPr>
          <w:sz w:val="28"/>
          <w:szCs w:val="28"/>
        </w:rPr>
        <w:t>7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>казатель активности населения за</w:t>
      </w:r>
      <w:r w:rsidR="00CA0B79">
        <w:rPr>
          <w:sz w:val="28"/>
          <w:szCs w:val="28"/>
        </w:rPr>
        <w:t xml:space="preserve"> </w:t>
      </w:r>
      <w:r w:rsidR="007D1C86">
        <w:rPr>
          <w:sz w:val="28"/>
          <w:szCs w:val="28"/>
        </w:rPr>
        <w:t xml:space="preserve">3 </w:t>
      </w:r>
      <w:r w:rsidR="00B97E11">
        <w:rPr>
          <w:sz w:val="28"/>
          <w:szCs w:val="28"/>
        </w:rPr>
        <w:t xml:space="preserve">квартал </w:t>
      </w:r>
      <w:r w:rsidR="00B27BCE">
        <w:rPr>
          <w:sz w:val="28"/>
          <w:szCs w:val="28"/>
        </w:rPr>
        <w:t>2</w:t>
      </w:r>
      <w:r w:rsidR="0009402B">
        <w:rPr>
          <w:sz w:val="28"/>
          <w:szCs w:val="28"/>
        </w:rPr>
        <w:t>01</w:t>
      </w:r>
      <w:r w:rsidR="00B97E11">
        <w:rPr>
          <w:sz w:val="28"/>
          <w:szCs w:val="28"/>
        </w:rPr>
        <w:t>7</w:t>
      </w:r>
      <w:r w:rsidR="0009402B">
        <w:rPr>
          <w:sz w:val="28"/>
          <w:szCs w:val="28"/>
        </w:rPr>
        <w:t> год</w:t>
      </w:r>
      <w:r w:rsidR="00B97E11">
        <w:rPr>
          <w:sz w:val="28"/>
          <w:szCs w:val="28"/>
        </w:rPr>
        <w:t>а</w:t>
      </w:r>
      <w:r w:rsidR="00761AF2">
        <w:rPr>
          <w:sz w:val="28"/>
          <w:szCs w:val="28"/>
        </w:rPr>
        <w:t xml:space="preserve"> составил </w:t>
      </w:r>
      <w:r w:rsidR="00B97E11">
        <w:rPr>
          <w:sz w:val="28"/>
          <w:szCs w:val="28"/>
        </w:rPr>
        <w:t>0,5</w:t>
      </w:r>
      <w:r w:rsidR="00B27BCE">
        <w:rPr>
          <w:sz w:val="28"/>
          <w:szCs w:val="28"/>
        </w:rPr>
        <w:t xml:space="preserve"> </w:t>
      </w:r>
      <w:r w:rsidR="00761AF2" w:rsidRPr="002209A3">
        <w:rPr>
          <w:sz w:val="28"/>
          <w:szCs w:val="28"/>
        </w:rPr>
        <w:t>%,</w:t>
      </w:r>
      <w:r w:rsidR="00761AF2">
        <w:rPr>
          <w:sz w:val="28"/>
          <w:szCs w:val="28"/>
        </w:rPr>
        <w:t xml:space="preserve">  </w:t>
      </w:r>
      <w:r w:rsidR="00B27BCE">
        <w:rPr>
          <w:sz w:val="28"/>
          <w:szCs w:val="28"/>
        </w:rPr>
        <w:t>за</w:t>
      </w:r>
      <w:r w:rsidR="001766B8">
        <w:rPr>
          <w:sz w:val="28"/>
          <w:szCs w:val="28"/>
        </w:rPr>
        <w:t xml:space="preserve"> </w:t>
      </w:r>
      <w:r w:rsidR="00CA0B79">
        <w:rPr>
          <w:b/>
          <w:sz w:val="28"/>
          <w:szCs w:val="28"/>
        </w:rPr>
        <w:t xml:space="preserve"> </w:t>
      </w:r>
      <w:r w:rsidR="007D1C86">
        <w:rPr>
          <w:sz w:val="28"/>
          <w:szCs w:val="28"/>
        </w:rPr>
        <w:t>3</w:t>
      </w:r>
      <w:r w:rsidR="00B97E11" w:rsidRPr="00B97E11">
        <w:rPr>
          <w:sz w:val="28"/>
          <w:szCs w:val="28"/>
        </w:rPr>
        <w:t xml:space="preserve"> квартал</w:t>
      </w:r>
      <w:r w:rsidR="00B97E11">
        <w:rPr>
          <w:b/>
          <w:sz w:val="28"/>
          <w:szCs w:val="28"/>
        </w:rPr>
        <w:t xml:space="preserve"> </w:t>
      </w:r>
      <w:r w:rsidR="00761AF2">
        <w:rPr>
          <w:sz w:val="28"/>
          <w:szCs w:val="28"/>
        </w:rPr>
        <w:t>201</w:t>
      </w:r>
      <w:r w:rsidR="00B97E11">
        <w:rPr>
          <w:sz w:val="28"/>
          <w:szCs w:val="28"/>
        </w:rPr>
        <w:t>6</w:t>
      </w:r>
      <w:r w:rsidR="00B27BCE">
        <w:rPr>
          <w:sz w:val="28"/>
          <w:szCs w:val="28"/>
        </w:rPr>
        <w:t>год</w:t>
      </w:r>
      <w:r w:rsidR="00B97E11">
        <w:rPr>
          <w:sz w:val="28"/>
          <w:szCs w:val="28"/>
        </w:rPr>
        <w:t>а</w:t>
      </w:r>
      <w:r w:rsidR="00CA0B79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 – </w:t>
      </w:r>
      <w:r w:rsidR="00B97E11">
        <w:rPr>
          <w:sz w:val="28"/>
          <w:szCs w:val="28"/>
        </w:rPr>
        <w:t>0,3</w:t>
      </w:r>
      <w:r w:rsidR="00CA0B79">
        <w:rPr>
          <w:sz w:val="28"/>
          <w:szCs w:val="28"/>
        </w:rPr>
        <w:t xml:space="preserve"> </w:t>
      </w:r>
      <w:r w:rsidR="00761AF2" w:rsidRPr="002209A3">
        <w:rPr>
          <w:sz w:val="28"/>
          <w:szCs w:val="28"/>
        </w:rPr>
        <w:t>%</w:t>
      </w:r>
      <w:r w:rsidR="00761AF2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</w:t>
      </w:r>
      <w:r w:rsidR="00CA0B79">
        <w:rPr>
          <w:sz w:val="28"/>
          <w:szCs w:val="28"/>
        </w:rPr>
        <w:t>300</w:t>
      </w:r>
      <w:r w:rsidR="00761AF2">
        <w:rPr>
          <w:sz w:val="28"/>
          <w:szCs w:val="28"/>
        </w:rPr>
        <w:t xml:space="preserve"> жителей на 01.01.201</w:t>
      </w:r>
      <w:r w:rsidR="00B97E11">
        <w:rPr>
          <w:sz w:val="28"/>
          <w:szCs w:val="28"/>
        </w:rPr>
        <w:t>6</w:t>
      </w:r>
      <w:r w:rsidR="00761AF2">
        <w:rPr>
          <w:sz w:val="28"/>
          <w:szCs w:val="28"/>
        </w:rPr>
        <w:t xml:space="preserve">). </w:t>
      </w: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 wp14:anchorId="713B595F" wp14:editId="0CE08880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 w:rsidR="002209A3"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 w:rsidR="002209A3">
        <w:rPr>
          <w:b/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0C2954">
        <w:rPr>
          <w:sz w:val="28"/>
          <w:szCs w:val="28"/>
        </w:rPr>
        <w:t>3</w:t>
      </w:r>
      <w:r w:rsidR="00B97E11">
        <w:rPr>
          <w:sz w:val="28"/>
          <w:szCs w:val="28"/>
        </w:rPr>
        <w:t xml:space="preserve"> квартал 2017 года</w:t>
      </w:r>
      <w:r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 за</w:t>
      </w:r>
      <w:r w:rsidR="00CA0B79">
        <w:rPr>
          <w:sz w:val="28"/>
          <w:szCs w:val="28"/>
        </w:rPr>
        <w:t xml:space="preserve"> </w:t>
      </w:r>
      <w:r w:rsidR="000C2954">
        <w:rPr>
          <w:sz w:val="28"/>
          <w:szCs w:val="28"/>
        </w:rPr>
        <w:t>3</w:t>
      </w:r>
      <w:r w:rsidR="00B97E11">
        <w:rPr>
          <w:sz w:val="28"/>
          <w:szCs w:val="28"/>
        </w:rPr>
        <w:t xml:space="preserve"> квартал 2016 года</w:t>
      </w:r>
      <w:r w:rsidR="00AE74BE">
        <w:rPr>
          <w:sz w:val="28"/>
          <w:szCs w:val="28"/>
        </w:rPr>
        <w:t> </w:t>
      </w:r>
      <w:r w:rsidR="0009402B">
        <w:rPr>
          <w:sz w:val="28"/>
          <w:szCs w:val="28"/>
        </w:rPr>
        <w:t>год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2209A3"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0C2954">
        <w:rPr>
          <w:sz w:val="28"/>
          <w:szCs w:val="28"/>
        </w:rPr>
        <w:t>3</w:t>
      </w:r>
      <w:r w:rsidR="00B97E11">
        <w:rPr>
          <w:sz w:val="28"/>
          <w:szCs w:val="28"/>
        </w:rPr>
        <w:t xml:space="preserve"> квартал 2017 года и </w:t>
      </w:r>
      <w:r w:rsidR="000C2954">
        <w:rPr>
          <w:sz w:val="28"/>
          <w:szCs w:val="28"/>
        </w:rPr>
        <w:t>3</w:t>
      </w:r>
      <w:r w:rsidR="00B97E11">
        <w:rPr>
          <w:sz w:val="28"/>
          <w:szCs w:val="28"/>
        </w:rPr>
        <w:t xml:space="preserve"> квартал 2016 года</w:t>
      </w:r>
      <w:r>
        <w:rPr>
          <w:sz w:val="28"/>
          <w:szCs w:val="28"/>
        </w:rPr>
        <w:t>:</w:t>
      </w:r>
    </w:p>
    <w:p w:rsidR="00511BDC" w:rsidRDefault="00511BDC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10226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1902"/>
        <w:gridCol w:w="1984"/>
        <w:gridCol w:w="1985"/>
        <w:gridCol w:w="1843"/>
      </w:tblGrid>
      <w:tr w:rsidR="00761AF2" w:rsidRPr="00B22C6D" w:rsidTr="00511BDC">
        <w:trPr>
          <w:jc w:val="center"/>
        </w:trPr>
        <w:tc>
          <w:tcPr>
            <w:tcW w:w="2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Форма обращения</w:t>
            </w:r>
          </w:p>
        </w:tc>
        <w:tc>
          <w:tcPr>
            <w:tcW w:w="7714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511BDC">
        <w:trPr>
          <w:trHeight w:val="592"/>
          <w:jc w:val="center"/>
        </w:trPr>
        <w:tc>
          <w:tcPr>
            <w:tcW w:w="2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B27BCE" w:rsidRDefault="00B27BCE" w:rsidP="000C2954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27BCE">
              <w:rPr>
                <w:sz w:val="24"/>
                <w:szCs w:val="24"/>
              </w:rPr>
              <w:t xml:space="preserve">за </w:t>
            </w:r>
            <w:r w:rsidR="000C2954">
              <w:rPr>
                <w:sz w:val="24"/>
                <w:szCs w:val="24"/>
              </w:rPr>
              <w:t>3</w:t>
            </w:r>
            <w:r w:rsidR="00B97E11">
              <w:rPr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3828" w:type="dxa"/>
            <w:gridSpan w:val="2"/>
            <w:vAlign w:val="center"/>
          </w:tcPr>
          <w:p w:rsidR="00761AF2" w:rsidRPr="00B27BCE" w:rsidRDefault="00B97E11" w:rsidP="000C2954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0C29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квартал 2016 года</w:t>
            </w:r>
          </w:p>
        </w:tc>
      </w:tr>
      <w:tr w:rsidR="00761AF2" w:rsidRPr="00B22C6D" w:rsidTr="00511BDC">
        <w:trPr>
          <w:jc w:val="center"/>
        </w:trPr>
        <w:tc>
          <w:tcPr>
            <w:tcW w:w="2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511BDC">
        <w:trPr>
          <w:trHeight w:val="615"/>
          <w:jc w:val="center"/>
        </w:trPr>
        <w:tc>
          <w:tcPr>
            <w:tcW w:w="2512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AE1739" w:rsidRDefault="000C295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761AF2" w:rsidRPr="00AE1739" w:rsidRDefault="000C2954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B97E11">
              <w:rPr>
                <w:sz w:val="24"/>
                <w:szCs w:val="24"/>
              </w:rPr>
              <w:t>,2</w:t>
            </w:r>
            <w:r w:rsidR="00761AF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0C2954" w:rsidP="0009402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761AF2" w:rsidRPr="00AE1739" w:rsidRDefault="000C295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B97E11">
              <w:rPr>
                <w:sz w:val="24"/>
                <w:szCs w:val="24"/>
              </w:rPr>
              <w:t>%</w:t>
            </w:r>
          </w:p>
        </w:tc>
      </w:tr>
      <w:tr w:rsidR="005021A7" w:rsidRPr="00B22C6D" w:rsidTr="00511BDC">
        <w:trPr>
          <w:trHeight w:val="553"/>
          <w:jc w:val="center"/>
        </w:trPr>
        <w:tc>
          <w:tcPr>
            <w:tcW w:w="2512" w:type="dxa"/>
            <w:vAlign w:val="center"/>
          </w:tcPr>
          <w:p w:rsidR="005021A7" w:rsidRPr="00666F8D" w:rsidRDefault="005021A7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5021A7" w:rsidRPr="00AE1739" w:rsidRDefault="005021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021A7" w:rsidRPr="00AE1739" w:rsidRDefault="005021A7" w:rsidP="00CA0B7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5021A7" w:rsidRPr="00AE1739" w:rsidRDefault="000C2954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021A7" w:rsidRPr="00AE1739" w:rsidRDefault="000C2954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021A7">
              <w:rPr>
                <w:sz w:val="24"/>
                <w:szCs w:val="24"/>
              </w:rPr>
              <w:t>%</w:t>
            </w:r>
          </w:p>
        </w:tc>
      </w:tr>
      <w:tr w:rsidR="00761AF2" w:rsidRPr="00B22C6D" w:rsidTr="00511BDC">
        <w:trPr>
          <w:trHeight w:val="518"/>
          <w:jc w:val="center"/>
        </w:trPr>
        <w:tc>
          <w:tcPr>
            <w:tcW w:w="2512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AE1739" w:rsidRDefault="000C295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761AF2" w:rsidRPr="00AE1739" w:rsidRDefault="000C2954" w:rsidP="0009402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97E11">
              <w:rPr>
                <w:sz w:val="24"/>
                <w:szCs w:val="24"/>
              </w:rPr>
              <w:t>,8</w:t>
            </w:r>
            <w:r w:rsidR="00822E2D">
              <w:rPr>
                <w:sz w:val="24"/>
                <w:szCs w:val="24"/>
              </w:rPr>
              <w:t xml:space="preserve"> </w:t>
            </w:r>
            <w:r w:rsidR="00761AF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0C295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761AF2" w:rsidRPr="00AE1739" w:rsidRDefault="000C295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B27BCE">
              <w:rPr>
                <w:sz w:val="24"/>
                <w:szCs w:val="24"/>
              </w:rPr>
              <w:t>%</w:t>
            </w:r>
          </w:p>
        </w:tc>
      </w:tr>
      <w:tr w:rsidR="00761AF2" w:rsidRPr="00B22C6D" w:rsidTr="00511BDC">
        <w:trPr>
          <w:jc w:val="center"/>
        </w:trPr>
        <w:tc>
          <w:tcPr>
            <w:tcW w:w="2512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AE1739" w:rsidRDefault="000C2954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  <w:r w:rsidR="00CA0B7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0C295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761AF2" w:rsidRPr="00AE1739" w:rsidRDefault="000C295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68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1CE15B10" wp14:editId="0C6F3002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2091833D" wp14:editId="09646BB8">
                  <wp:extent cx="3076575" cy="2724150"/>
                  <wp:effectExtent l="0" t="0" r="9525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за </w:t>
      </w:r>
      <w:r w:rsidR="0009402B">
        <w:rPr>
          <w:sz w:val="28"/>
          <w:szCs w:val="28"/>
        </w:rPr>
        <w:t xml:space="preserve"> </w:t>
      </w:r>
      <w:r w:rsidR="00B97E11">
        <w:rPr>
          <w:sz w:val="28"/>
          <w:szCs w:val="28"/>
        </w:rPr>
        <w:t>1 квартал 2017 года</w:t>
      </w:r>
      <w:r w:rsidR="00AE2816"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за </w:t>
      </w:r>
      <w:r w:rsidR="00B97E11">
        <w:rPr>
          <w:sz w:val="28"/>
          <w:szCs w:val="28"/>
        </w:rPr>
        <w:t>1 квартал 2016 года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2209A3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BF5CDB">
        <w:rPr>
          <w:sz w:val="28"/>
          <w:szCs w:val="28"/>
        </w:rPr>
        <w:t>3</w:t>
      </w:r>
      <w:r w:rsidR="00B97E11">
        <w:rPr>
          <w:sz w:val="28"/>
          <w:szCs w:val="28"/>
        </w:rPr>
        <w:t xml:space="preserve"> квартал 2017 года и </w:t>
      </w:r>
      <w:r w:rsidR="00BF5CDB">
        <w:rPr>
          <w:sz w:val="28"/>
          <w:szCs w:val="28"/>
        </w:rPr>
        <w:t>3</w:t>
      </w:r>
      <w:r w:rsidR="00B97E11">
        <w:rPr>
          <w:sz w:val="28"/>
          <w:szCs w:val="28"/>
        </w:rPr>
        <w:t xml:space="preserve"> квартал 2016 года</w:t>
      </w:r>
      <w:r>
        <w:rPr>
          <w:sz w:val="28"/>
          <w:szCs w:val="28"/>
        </w:rPr>
        <w:t>:</w:t>
      </w:r>
    </w:p>
    <w:tbl>
      <w:tblPr>
        <w:tblW w:w="946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587"/>
        <w:gridCol w:w="1701"/>
        <w:gridCol w:w="1701"/>
        <w:gridCol w:w="2567"/>
      </w:tblGrid>
      <w:tr w:rsidR="00AE2816" w:rsidRPr="00B22C6D" w:rsidTr="00511BDC">
        <w:trPr>
          <w:jc w:val="center"/>
        </w:trPr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556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511BDC">
        <w:trPr>
          <w:trHeight w:val="592"/>
          <w:jc w:val="center"/>
        </w:trPr>
        <w:tc>
          <w:tcPr>
            <w:tcW w:w="1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09402B" w:rsidP="00BF5CDB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BF5CDB">
              <w:rPr>
                <w:b/>
                <w:sz w:val="24"/>
                <w:szCs w:val="24"/>
              </w:rPr>
              <w:t>3</w:t>
            </w:r>
            <w:r w:rsidR="00B97E11">
              <w:rPr>
                <w:b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4268" w:type="dxa"/>
            <w:gridSpan w:val="2"/>
            <w:vAlign w:val="center"/>
          </w:tcPr>
          <w:p w:rsidR="00AE2816" w:rsidRPr="00212BA8" w:rsidRDefault="00B97E11" w:rsidP="00BF5CDB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BF5CD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квартал 2016 года</w:t>
            </w:r>
          </w:p>
        </w:tc>
      </w:tr>
      <w:tr w:rsidR="00AE2816" w:rsidRPr="00B22C6D" w:rsidTr="00511BDC">
        <w:trPr>
          <w:jc w:val="center"/>
        </w:trPr>
        <w:tc>
          <w:tcPr>
            <w:tcW w:w="1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56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511BDC">
        <w:trPr>
          <w:trHeight w:val="615"/>
          <w:jc w:val="center"/>
        </w:trPr>
        <w:tc>
          <w:tcPr>
            <w:tcW w:w="1906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2209A3" w:rsidRDefault="00BF5CDB" w:rsidP="002D09BF">
            <w:pPr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AE2816" w:rsidRPr="00212BA8" w:rsidRDefault="00BF5CD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BF5CDB" w:rsidP="006B0200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7" w:type="dxa"/>
            <w:vAlign w:val="center"/>
          </w:tcPr>
          <w:p w:rsidR="00AE2816" w:rsidRPr="00212BA8" w:rsidRDefault="00435BFB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trHeight w:val="553"/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212BA8" w:rsidRDefault="00BF5CDB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E2816" w:rsidRPr="00212BA8" w:rsidRDefault="00BF5CDB" w:rsidP="00293A6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5BFB">
              <w:rPr>
                <w:sz w:val="24"/>
                <w:szCs w:val="24"/>
              </w:rPr>
              <w:t>2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7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trHeight w:val="518"/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212BA8" w:rsidRDefault="005021A7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E2816" w:rsidRPr="00212BA8" w:rsidRDefault="00B167E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3A62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7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</w:t>
            </w:r>
            <w:r w:rsidR="00511BDC">
              <w:rPr>
                <w:b/>
                <w:sz w:val="24"/>
                <w:szCs w:val="24"/>
              </w:rPr>
              <w:t xml:space="preserve"> </w:t>
            </w:r>
            <w:r w:rsidRPr="00212BA8">
              <w:rPr>
                <w:b/>
                <w:sz w:val="24"/>
                <w:szCs w:val="24"/>
              </w:rPr>
              <w:t>вопросов</w:t>
            </w:r>
          </w:p>
        </w:tc>
        <w:tc>
          <w:tcPr>
            <w:tcW w:w="1587" w:type="dxa"/>
            <w:vAlign w:val="center"/>
          </w:tcPr>
          <w:p w:rsidR="00AE2816" w:rsidRPr="00212BA8" w:rsidRDefault="00BF5CDB" w:rsidP="005D607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212BA8" w:rsidRDefault="00BF5CD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7" w:type="dxa"/>
            <w:vAlign w:val="center"/>
          </w:tcPr>
          <w:p w:rsidR="00AE2816" w:rsidRPr="00212BA8" w:rsidRDefault="00AE2816" w:rsidP="00435BF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D365B9" w:rsidTr="00C36220">
        <w:tc>
          <w:tcPr>
            <w:tcW w:w="4661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Количественные показатели (шт.)</w:t>
            </w:r>
          </w:p>
        </w:tc>
        <w:tc>
          <w:tcPr>
            <w:tcW w:w="4661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C36220">
        <w:tc>
          <w:tcPr>
            <w:tcW w:w="4661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3CF3CA2A" wp14:editId="6F9F8871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5642596D" wp14:editId="4A6D8689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BF5CDB">
        <w:rPr>
          <w:sz w:val="28"/>
          <w:szCs w:val="28"/>
        </w:rPr>
        <w:t>3</w:t>
      </w:r>
      <w:r w:rsidR="00435BFB">
        <w:rPr>
          <w:sz w:val="28"/>
          <w:szCs w:val="28"/>
        </w:rPr>
        <w:t xml:space="preserve"> квартале 2017 года</w:t>
      </w:r>
      <w:r w:rsidRPr="00961F85">
        <w:rPr>
          <w:sz w:val="28"/>
          <w:szCs w:val="28"/>
        </w:rPr>
        <w:t xml:space="preserve"> </w:t>
      </w:r>
      <w:r w:rsidR="00C8527C">
        <w:rPr>
          <w:b/>
          <w:sz w:val="28"/>
          <w:szCs w:val="28"/>
        </w:rPr>
        <w:t>было</w:t>
      </w:r>
      <w:r w:rsidR="00435BFB">
        <w:rPr>
          <w:b/>
          <w:sz w:val="28"/>
          <w:szCs w:val="28"/>
        </w:rPr>
        <w:t xml:space="preserve"> </w:t>
      </w:r>
      <w:r w:rsidR="00BF5CDB">
        <w:rPr>
          <w:b/>
          <w:sz w:val="28"/>
          <w:szCs w:val="28"/>
        </w:rPr>
        <w:t>1</w:t>
      </w:r>
      <w:r w:rsidR="00C8527C">
        <w:rPr>
          <w:b/>
          <w:sz w:val="28"/>
          <w:szCs w:val="28"/>
        </w:rPr>
        <w:t xml:space="preserve"> коллективн</w:t>
      </w:r>
      <w:r w:rsidR="00BF5CDB">
        <w:rPr>
          <w:b/>
          <w:sz w:val="28"/>
          <w:szCs w:val="28"/>
        </w:rPr>
        <w:t xml:space="preserve">ое </w:t>
      </w:r>
      <w:r w:rsidR="00C8527C">
        <w:rPr>
          <w:b/>
          <w:sz w:val="28"/>
          <w:szCs w:val="28"/>
        </w:rPr>
        <w:t>обращени</w:t>
      </w:r>
      <w:r w:rsidR="00BF5CDB">
        <w:rPr>
          <w:b/>
          <w:sz w:val="28"/>
          <w:szCs w:val="28"/>
        </w:rPr>
        <w:t>е</w:t>
      </w:r>
      <w:r w:rsidR="00C8527C">
        <w:rPr>
          <w:b/>
          <w:sz w:val="28"/>
          <w:szCs w:val="28"/>
        </w:rPr>
        <w:t>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0433EA" w:rsidP="00BF5CD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BF5CDB">
              <w:rPr>
                <w:sz w:val="28"/>
                <w:szCs w:val="28"/>
              </w:rPr>
              <w:t>3</w:t>
            </w:r>
            <w:r w:rsidR="00435BFB">
              <w:rPr>
                <w:sz w:val="28"/>
                <w:szCs w:val="28"/>
              </w:rPr>
              <w:t xml:space="preserve"> квартал 2017 года</w:t>
            </w:r>
            <w:r w:rsidR="00AE2816" w:rsidRPr="00603424">
              <w:rPr>
                <w:sz w:val="28"/>
                <w:szCs w:val="28"/>
              </w:rPr>
              <w:t xml:space="preserve"> г</w:t>
            </w:r>
            <w:r w:rsidR="00AE2816"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435BFB" w:rsidP="00BF5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BF5C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квартал 2016 года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167E7" w:rsidRDefault="00BF5CDB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603424" w:rsidRDefault="00B167E7" w:rsidP="0004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433E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B167E7" w:rsidRDefault="00BF5CDB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DC234C" w:rsidRDefault="00B167E7" w:rsidP="00435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435B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5ECBE48E" wp14:editId="4F0C0024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1A6E35C7" wp14:editId="1111DED3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25759A" w:rsidRDefault="00BD5469" w:rsidP="00183E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183E38" w:rsidRPr="00154E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183E38" w:rsidRPr="00154EB3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и</w:t>
      </w:r>
      <w:r w:rsidR="00183E38" w:rsidRPr="00154EB3">
        <w:rPr>
          <w:sz w:val="28"/>
          <w:szCs w:val="28"/>
        </w:rPr>
        <w:t xml:space="preserve"> непосредственно в Администрацию </w:t>
      </w:r>
      <w:r w:rsidR="00EE396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 w:rsidR="00AE2816">
        <w:rPr>
          <w:sz w:val="28"/>
          <w:szCs w:val="28"/>
        </w:rPr>
        <w:t>Сальского</w:t>
      </w:r>
      <w:r w:rsidR="00897B02">
        <w:rPr>
          <w:sz w:val="28"/>
          <w:szCs w:val="28"/>
        </w:rPr>
        <w:t xml:space="preserve"> </w:t>
      </w:r>
      <w:r w:rsidR="00183E38">
        <w:rPr>
          <w:sz w:val="28"/>
          <w:szCs w:val="28"/>
        </w:rPr>
        <w:t>района</w:t>
      </w:r>
      <w:r w:rsidR="00183E38" w:rsidRPr="00154EB3">
        <w:rPr>
          <w:color w:val="1F497D"/>
          <w:sz w:val="28"/>
          <w:szCs w:val="28"/>
        </w:rPr>
        <w:t xml:space="preserve">, </w:t>
      </w:r>
      <w:r w:rsidR="00183E38"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="00183E38"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 w:rsidR="00183E38">
        <w:rPr>
          <w:sz w:val="28"/>
          <w:szCs w:val="28"/>
        </w:rPr>
        <w:t>лавы</w:t>
      </w:r>
      <w:r w:rsidR="00897B02">
        <w:rPr>
          <w:sz w:val="28"/>
          <w:szCs w:val="28"/>
        </w:rPr>
        <w:t xml:space="preserve"> </w:t>
      </w:r>
      <w:r w:rsidR="00C8527C">
        <w:rPr>
          <w:sz w:val="28"/>
          <w:szCs w:val="28"/>
        </w:rPr>
        <w:t xml:space="preserve">Администрации </w:t>
      </w:r>
      <w:r w:rsidR="00EE396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 w:rsidR="00183E38">
        <w:rPr>
          <w:sz w:val="28"/>
          <w:szCs w:val="28"/>
        </w:rPr>
        <w:t>–</w:t>
      </w:r>
      <w:r>
        <w:rPr>
          <w:sz w:val="28"/>
          <w:szCs w:val="28"/>
        </w:rPr>
        <w:t xml:space="preserve"> 100</w:t>
      </w:r>
      <w:r w:rsidR="00183E38">
        <w:rPr>
          <w:sz w:val="28"/>
          <w:szCs w:val="28"/>
        </w:rPr>
        <w:t xml:space="preserve">% обращений. </w:t>
      </w:r>
      <w:r w:rsidR="00183E38" w:rsidRPr="0049399B">
        <w:rPr>
          <w:sz w:val="28"/>
          <w:szCs w:val="28"/>
        </w:rPr>
        <w:t>Часть обращений</w:t>
      </w:r>
      <w:r w:rsidR="002209A3">
        <w:rPr>
          <w:sz w:val="28"/>
          <w:szCs w:val="28"/>
        </w:rPr>
        <w:t xml:space="preserve"> </w:t>
      </w:r>
      <w:r w:rsidR="00183E38" w:rsidRPr="0049399B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>поселения</w:t>
      </w:r>
      <w:r w:rsidR="00183E38" w:rsidRPr="0049399B">
        <w:rPr>
          <w:sz w:val="28"/>
          <w:szCs w:val="28"/>
        </w:rPr>
        <w:t xml:space="preserve"> адресуют в другие инстанции, в том числе в </w:t>
      </w:r>
      <w:r w:rsidR="00183E38" w:rsidRPr="00FE0522">
        <w:rPr>
          <w:b/>
          <w:sz w:val="28"/>
          <w:szCs w:val="28"/>
        </w:rPr>
        <w:t>вышестоящие органы власти</w:t>
      </w:r>
      <w:r w:rsidR="00183E38" w:rsidRPr="0049399B">
        <w:rPr>
          <w:sz w:val="28"/>
          <w:szCs w:val="28"/>
        </w:rPr>
        <w:t>.</w:t>
      </w:r>
    </w:p>
    <w:p w:rsidR="00FB3D30" w:rsidRDefault="00FB3D30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559"/>
        <w:gridCol w:w="1701"/>
      </w:tblGrid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220" w:rsidRDefault="00C36220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proofErr w:type="gramStart"/>
            <w:r w:rsidRPr="0051674F">
              <w:rPr>
                <w:sz w:val="28"/>
                <w:szCs w:val="28"/>
              </w:rPr>
              <w:t>п</w:t>
            </w:r>
            <w:proofErr w:type="gramEnd"/>
            <w:r w:rsidRPr="0051674F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4B1E3D" w:rsidP="00BF5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BF5CDB">
              <w:rPr>
                <w:sz w:val="28"/>
                <w:szCs w:val="28"/>
              </w:rPr>
              <w:t>3</w:t>
            </w:r>
            <w:r w:rsidR="00435BFB">
              <w:rPr>
                <w:sz w:val="28"/>
                <w:szCs w:val="28"/>
              </w:rPr>
              <w:t xml:space="preserve"> квартал </w:t>
            </w:r>
            <w:r w:rsidR="00435BFB">
              <w:rPr>
                <w:sz w:val="28"/>
                <w:szCs w:val="28"/>
              </w:rPr>
              <w:lastRenderedPageBreak/>
              <w:t>2017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lastRenderedPageBreak/>
              <w:t xml:space="preserve">% от общего </w:t>
            </w:r>
            <w:r w:rsidRPr="0051674F">
              <w:rPr>
                <w:sz w:val="28"/>
                <w:szCs w:val="28"/>
              </w:rPr>
              <w:lastRenderedPageBreak/>
              <w:t>количества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559" w:type="dxa"/>
          </w:tcPr>
          <w:p w:rsidR="00AE2816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339"/>
        </w:trPr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559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 w:rsidR="00AE2816">
              <w:rPr>
                <w:sz w:val="28"/>
                <w:szCs w:val="28"/>
              </w:rPr>
              <w:t>Сальского</w:t>
            </w:r>
            <w:r w:rsidR="006D1E46">
              <w:rPr>
                <w:sz w:val="28"/>
                <w:szCs w:val="28"/>
              </w:rPr>
              <w:t xml:space="preserve">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643F57" w:rsidP="006F25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Сальская</w:t>
            </w:r>
            <w:proofErr w:type="spellEnd"/>
            <w:r>
              <w:rPr>
                <w:sz w:val="28"/>
                <w:szCs w:val="28"/>
              </w:rPr>
              <w:t xml:space="preserve"> городская </w:t>
            </w:r>
            <w:r w:rsidR="0025759A"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765EDD" w:rsidRPr="002C2AA1" w:rsidRDefault="00765EDD" w:rsidP="000503D0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4"/>
        <w:gridCol w:w="1134"/>
      </w:tblGrid>
      <w:tr w:rsidR="00173224" w:rsidRPr="003C313A" w:rsidTr="00173224">
        <w:trPr>
          <w:trHeight w:val="356"/>
        </w:trPr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173224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3C313A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r>
              <w:t>Социальное обеспечение, материальная помощь и льготы инвалидам</w:t>
            </w:r>
          </w:p>
        </w:tc>
        <w:tc>
          <w:tcPr>
            <w:tcW w:w="1134" w:type="dxa"/>
          </w:tcPr>
          <w:p w:rsidR="00173224" w:rsidRPr="00260688" w:rsidRDefault="00BF5CD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Pr="003C313A" w:rsidRDefault="00BF5CDB" w:rsidP="0051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41110E" w:rsidRPr="003C313A" w:rsidTr="00173224">
        <w:tc>
          <w:tcPr>
            <w:tcW w:w="1134" w:type="dxa"/>
          </w:tcPr>
          <w:p w:rsidR="0041110E" w:rsidRDefault="0041110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1110E" w:rsidRDefault="0041110E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41110E" w:rsidRPr="00260688" w:rsidRDefault="00435BF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1110E" w:rsidRDefault="00435BFB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7645F" w:rsidRDefault="00260688" w:rsidP="00173224"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10E" w:rsidRPr="003C313A" w:rsidTr="00173224">
        <w:tc>
          <w:tcPr>
            <w:tcW w:w="1134" w:type="dxa"/>
          </w:tcPr>
          <w:p w:rsidR="0041110E" w:rsidRDefault="0041110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1110E" w:rsidRPr="0027645F" w:rsidRDefault="0027645F" w:rsidP="00173224">
            <w:r w:rsidRPr="0027645F">
              <w:t>оформление недвижимости в собственность</w:t>
            </w:r>
          </w:p>
        </w:tc>
        <w:tc>
          <w:tcPr>
            <w:tcW w:w="1134" w:type="dxa"/>
          </w:tcPr>
          <w:p w:rsidR="0041110E" w:rsidRPr="00260688" w:rsidRDefault="00435BFB" w:rsidP="0017322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1110E" w:rsidRPr="00511BDC" w:rsidRDefault="00435BFB" w:rsidP="0051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Пенсии ( за исключением международного сотрудничества)</w:t>
            </w:r>
          </w:p>
        </w:tc>
        <w:tc>
          <w:tcPr>
            <w:tcW w:w="1134" w:type="dxa"/>
          </w:tcPr>
          <w:p w:rsidR="00260688" w:rsidRPr="00260688" w:rsidRDefault="00435BF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Default="00435BFB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i/>
                <w:sz w:val="28"/>
                <w:szCs w:val="28"/>
              </w:rPr>
            </w:pPr>
            <w:r w:rsidRPr="00260688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</w:pPr>
          </w:p>
        </w:tc>
        <w:tc>
          <w:tcPr>
            <w:tcW w:w="6379" w:type="dxa"/>
          </w:tcPr>
          <w:p w:rsidR="00260688" w:rsidRPr="00260688" w:rsidRDefault="00260688" w:rsidP="00173224">
            <w:r w:rsidRPr="00260688">
              <w:t>назначение пенсии</w:t>
            </w:r>
          </w:p>
        </w:tc>
        <w:tc>
          <w:tcPr>
            <w:tcW w:w="1134" w:type="dxa"/>
          </w:tcPr>
          <w:p w:rsidR="00260688" w:rsidRPr="00260688" w:rsidRDefault="00435BFB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Pr="00511BDC" w:rsidRDefault="00435BFB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 w:rsidRP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E70A2C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173224" w:rsidRPr="00260688" w:rsidRDefault="00BF5CD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897B02" w:rsidRDefault="00BF5CDB" w:rsidP="006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 w:rsidRPr="00897B02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E70A2C" w:rsidRDefault="00173224" w:rsidP="00173224">
            <w:r w:rsidRPr="00E70A2C">
              <w:t xml:space="preserve">Оказание </w:t>
            </w:r>
            <w:r>
              <w:t>финансовой помощи</w:t>
            </w:r>
          </w:p>
        </w:tc>
        <w:tc>
          <w:tcPr>
            <w:tcW w:w="1134" w:type="dxa"/>
          </w:tcPr>
          <w:p w:rsidR="00173224" w:rsidRPr="00260688" w:rsidRDefault="00BF5CDB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Default="00BF5CDB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27645F" w:rsidRPr="003C313A" w:rsidTr="00173224">
        <w:tc>
          <w:tcPr>
            <w:tcW w:w="1134" w:type="dxa"/>
          </w:tcPr>
          <w:p w:rsidR="0027645F" w:rsidRDefault="0027645F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7645F" w:rsidRPr="0027645F" w:rsidRDefault="0027645F" w:rsidP="00173224">
            <w:r w:rsidRPr="0027645F">
              <w:t xml:space="preserve">компенсационные выплаты за утраченное имущество, в </w:t>
            </w:r>
            <w:proofErr w:type="spellStart"/>
            <w:r w:rsidRPr="0027645F">
              <w:t>т.ч</w:t>
            </w:r>
            <w:proofErr w:type="spellEnd"/>
            <w:r w:rsidRPr="0027645F">
              <w:t>. жилье</w:t>
            </w:r>
          </w:p>
        </w:tc>
        <w:tc>
          <w:tcPr>
            <w:tcW w:w="1134" w:type="dxa"/>
          </w:tcPr>
          <w:p w:rsidR="0027645F" w:rsidRPr="00260688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645F" w:rsidRPr="00511BDC" w:rsidRDefault="00657390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Культура (за исключением международного сотрудничества)</w:t>
            </w:r>
          </w:p>
        </w:tc>
        <w:tc>
          <w:tcPr>
            <w:tcW w:w="1134" w:type="dxa"/>
          </w:tcPr>
          <w:p w:rsidR="00260688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Default="00657390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i/>
                <w:sz w:val="28"/>
                <w:szCs w:val="28"/>
              </w:rPr>
            </w:pPr>
            <w:r w:rsidRPr="00260688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7645F" w:rsidRDefault="00260688" w:rsidP="00173224">
            <w:r>
              <w:t>Библиотеки. Дома культуры, кинотеатры</w:t>
            </w:r>
          </w:p>
        </w:tc>
        <w:tc>
          <w:tcPr>
            <w:tcW w:w="1134" w:type="dxa"/>
          </w:tcPr>
          <w:p w:rsidR="00260688" w:rsidRPr="00260688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Pr="00511BDC" w:rsidRDefault="00657390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 w:rsidRPr="00511BDC">
              <w:rPr>
                <w:sz w:val="28"/>
                <w:szCs w:val="28"/>
              </w:rPr>
              <w:t>%</w:t>
            </w:r>
          </w:p>
        </w:tc>
      </w:tr>
      <w:tr w:rsidR="00260688" w:rsidRPr="00260688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</w:tcPr>
          <w:p w:rsidR="00260688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0688" w:rsidRPr="00260688" w:rsidRDefault="00BF5CDB" w:rsidP="009B0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r>
              <w:t>в том числе:</w:t>
            </w:r>
          </w:p>
        </w:tc>
        <w:tc>
          <w:tcPr>
            <w:tcW w:w="1134" w:type="dxa"/>
          </w:tcPr>
          <w:p w:rsid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r>
              <w:t>Медицинское обслуживание сельских жителей.</w:t>
            </w:r>
          </w:p>
        </w:tc>
        <w:tc>
          <w:tcPr>
            <w:tcW w:w="1134" w:type="dxa"/>
          </w:tcPr>
          <w:p w:rsidR="00260688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0688" w:rsidRPr="00511BDC" w:rsidRDefault="00BF5CDB" w:rsidP="009B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11BDC" w:rsidRP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173224" w:rsidP="00173224">
            <w:pPr>
              <w:rPr>
                <w:b/>
                <w:sz w:val="28"/>
                <w:szCs w:val="28"/>
              </w:rPr>
            </w:pPr>
            <w:r w:rsidRPr="001E74D3">
              <w:rPr>
                <w:b/>
                <w:sz w:val="28"/>
                <w:szCs w:val="28"/>
              </w:rPr>
              <w:t>Градостроительство</w:t>
            </w:r>
            <w:r>
              <w:rPr>
                <w:b/>
                <w:sz w:val="28"/>
                <w:szCs w:val="28"/>
              </w:rPr>
              <w:t xml:space="preserve"> и архитектура</w:t>
            </w:r>
          </w:p>
        </w:tc>
        <w:tc>
          <w:tcPr>
            <w:tcW w:w="1134" w:type="dxa"/>
          </w:tcPr>
          <w:p w:rsidR="00173224" w:rsidRPr="00260688" w:rsidRDefault="00BF5CDB" w:rsidP="006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73224" w:rsidRPr="00897B02" w:rsidRDefault="00657390" w:rsidP="00BF5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F5CDB">
              <w:rPr>
                <w:b/>
                <w:sz w:val="28"/>
                <w:szCs w:val="28"/>
              </w:rPr>
              <w:t>3</w:t>
            </w:r>
            <w:r w:rsidR="00173224" w:rsidRPr="00897B02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r>
              <w:t xml:space="preserve">Благоустройство городов и поселков. Обустройство </w:t>
            </w:r>
            <w:proofErr w:type="spellStart"/>
            <w:r>
              <w:t>придворовых</w:t>
            </w:r>
            <w:proofErr w:type="spellEnd"/>
            <w:r>
              <w:t xml:space="preserve"> территорий</w:t>
            </w:r>
          </w:p>
        </w:tc>
        <w:tc>
          <w:tcPr>
            <w:tcW w:w="1134" w:type="dxa"/>
          </w:tcPr>
          <w:p w:rsidR="00173224" w:rsidRPr="00B91E27" w:rsidRDefault="00BF5CDB" w:rsidP="00BF5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73224" w:rsidRDefault="00BF5CDB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Сельское хозяйство</w:t>
            </w:r>
          </w:p>
        </w:tc>
        <w:tc>
          <w:tcPr>
            <w:tcW w:w="1134" w:type="dxa"/>
          </w:tcPr>
          <w:p w:rsidR="00173224" w:rsidRPr="00260688" w:rsidRDefault="00BF5CD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BF5CDB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B91E27" w:rsidP="00173224">
            <w:r>
              <w:t>Животноводство</w:t>
            </w:r>
          </w:p>
        </w:tc>
        <w:tc>
          <w:tcPr>
            <w:tcW w:w="1134" w:type="dxa"/>
          </w:tcPr>
          <w:p w:rsidR="00173224" w:rsidRDefault="00BF5CDB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Default="00BF5CDB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B91E27" w:rsidRPr="003C313A" w:rsidTr="00173224">
        <w:tc>
          <w:tcPr>
            <w:tcW w:w="1134" w:type="dxa"/>
          </w:tcPr>
          <w:p w:rsidR="00B91E27" w:rsidRDefault="00B91E27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B91E27" w:rsidRPr="001E74D3" w:rsidRDefault="00B91E27" w:rsidP="00173224">
            <w:r w:rsidRPr="001E74D3"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134" w:type="dxa"/>
          </w:tcPr>
          <w:p w:rsidR="00B91E27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91E27" w:rsidRDefault="00657390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F27CE2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173224" w:rsidRPr="00897B02" w:rsidRDefault="00BF5CD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8062A7" w:rsidRDefault="00BF5CDB" w:rsidP="006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657390">
              <w:rPr>
                <w:b/>
                <w:sz w:val="28"/>
                <w:szCs w:val="28"/>
              </w:rPr>
              <w:t>2</w:t>
            </w:r>
            <w:r w:rsidR="00173224" w:rsidRPr="008062A7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740FA1" w:rsidRPr="003C313A" w:rsidTr="00173224">
        <w:tc>
          <w:tcPr>
            <w:tcW w:w="1134" w:type="dxa"/>
          </w:tcPr>
          <w:p w:rsidR="00740FA1" w:rsidRDefault="00740FA1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740FA1" w:rsidRDefault="00740FA1" w:rsidP="00173224">
            <w:r>
              <w:t>охрана общественного порядка в городских и сельских поселения</w:t>
            </w:r>
          </w:p>
        </w:tc>
        <w:tc>
          <w:tcPr>
            <w:tcW w:w="1134" w:type="dxa"/>
          </w:tcPr>
          <w:p w:rsidR="00740FA1" w:rsidRDefault="00BF5CDB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40FA1" w:rsidRDefault="00BF5CDB" w:rsidP="0065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F27CE2" w:rsidRDefault="00173224" w:rsidP="00173224">
            <w:r>
              <w:t>Паспортная система. Регистрация по месту жительства и месту пребывания</w:t>
            </w:r>
          </w:p>
        </w:tc>
        <w:tc>
          <w:tcPr>
            <w:tcW w:w="1134" w:type="dxa"/>
          </w:tcPr>
          <w:p w:rsidR="00173224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Default="00657390" w:rsidP="009B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982894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982894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82894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Безопасность личности</w:t>
            </w:r>
          </w:p>
        </w:tc>
        <w:tc>
          <w:tcPr>
            <w:tcW w:w="1134" w:type="dxa"/>
          </w:tcPr>
          <w:p w:rsidR="00173224" w:rsidRPr="003C313A" w:rsidRDefault="00657390" w:rsidP="00740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657390" w:rsidP="009B0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 w:rsidRPr="003C313A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173224" w:rsidRPr="00723A51" w:rsidRDefault="00173224" w:rsidP="00173224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Конфликты на бытовой почве</w:t>
            </w:r>
          </w:p>
        </w:tc>
        <w:tc>
          <w:tcPr>
            <w:tcW w:w="1134" w:type="dxa"/>
          </w:tcPr>
          <w:p w:rsidR="00173224" w:rsidRPr="00723A51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657390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60285" w:rsidRDefault="00173224" w:rsidP="00173224">
            <w:pPr>
              <w:rPr>
                <w:b/>
                <w:sz w:val="28"/>
                <w:szCs w:val="28"/>
              </w:rPr>
            </w:pPr>
            <w:r w:rsidRPr="00F60285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173224" w:rsidRDefault="00BF5CD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Default="00BF5CDB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73224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60285" w:rsidRDefault="00173224" w:rsidP="00173224">
            <w:r w:rsidRPr="00F60285">
              <w:t>улучшение жилищных условий, предоставление жилого помещения по договору найма</w:t>
            </w:r>
          </w:p>
        </w:tc>
        <w:tc>
          <w:tcPr>
            <w:tcW w:w="1134" w:type="dxa"/>
          </w:tcPr>
          <w:p w:rsidR="00173224" w:rsidRPr="00F60285" w:rsidRDefault="00BF5CDB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Pr="00F60285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 w:rsidRPr="00F60285">
              <w:rPr>
                <w:sz w:val="28"/>
                <w:szCs w:val="28"/>
              </w:rPr>
              <w:t>%</w:t>
            </w:r>
          </w:p>
        </w:tc>
      </w:tr>
      <w:tr w:rsidR="00C0779E" w:rsidRPr="003C313A" w:rsidTr="00173224">
        <w:tc>
          <w:tcPr>
            <w:tcW w:w="1134" w:type="dxa"/>
          </w:tcPr>
          <w:p w:rsidR="00C0779E" w:rsidRDefault="00C0779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C0779E" w:rsidRPr="00F60285" w:rsidRDefault="00C0779E" w:rsidP="00173224">
            <w:r>
              <w:t>приватизация государственного и муниципального жилого фонда. Рынок жилья</w:t>
            </w:r>
          </w:p>
        </w:tc>
        <w:tc>
          <w:tcPr>
            <w:tcW w:w="1134" w:type="dxa"/>
          </w:tcPr>
          <w:p w:rsidR="00C0779E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0779E" w:rsidRPr="00F60285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F27CE2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27CE2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</w:tcPr>
          <w:p w:rsidR="00173224" w:rsidRPr="00897B02" w:rsidRDefault="00BF5CD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224" w:rsidRPr="008062A7" w:rsidRDefault="00EE2927" w:rsidP="006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173224" w:rsidRPr="008062A7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27CE2" w:rsidRDefault="00173224" w:rsidP="00173224">
            <w:r>
              <w:t>Перебои в водоснабжении</w:t>
            </w:r>
          </w:p>
        </w:tc>
        <w:tc>
          <w:tcPr>
            <w:tcW w:w="1134" w:type="dxa"/>
          </w:tcPr>
          <w:p w:rsidR="00173224" w:rsidRDefault="00BF5CDB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Default="00EE2927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81C77" w:rsidRDefault="00173224" w:rsidP="00173224">
            <w:pPr>
              <w:jc w:val="center"/>
            </w:pPr>
          </w:p>
        </w:tc>
        <w:tc>
          <w:tcPr>
            <w:tcW w:w="6379" w:type="dxa"/>
          </w:tcPr>
          <w:p w:rsidR="00173224" w:rsidRPr="00381C77" w:rsidRDefault="00173224" w:rsidP="00173224">
            <w:r w:rsidRPr="00381C77">
              <w:rPr>
                <w:rStyle w:val="bold1"/>
                <w:b w:val="0"/>
              </w:rPr>
              <w:t xml:space="preserve">Перебои в электроснабжении. </w:t>
            </w:r>
            <w:r w:rsidRPr="00381C77">
              <w:br/>
            </w:r>
          </w:p>
        </w:tc>
        <w:tc>
          <w:tcPr>
            <w:tcW w:w="1134" w:type="dxa"/>
          </w:tcPr>
          <w:p w:rsidR="00173224" w:rsidRDefault="00BF5CDB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73224" w:rsidRDefault="00EE2927" w:rsidP="0065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73224">
              <w:rPr>
                <w:sz w:val="28"/>
                <w:szCs w:val="28"/>
              </w:rPr>
              <w:t>%</w:t>
            </w:r>
          </w:p>
        </w:tc>
      </w:tr>
    </w:tbl>
    <w:p w:rsidR="00765EDD" w:rsidRDefault="00765EDD" w:rsidP="000503D0">
      <w:pPr>
        <w:ind w:firstLine="709"/>
        <w:jc w:val="both"/>
        <w:rPr>
          <w:sz w:val="28"/>
          <w:szCs w:val="28"/>
        </w:rPr>
      </w:pP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E2927">
        <w:rPr>
          <w:sz w:val="28"/>
          <w:szCs w:val="28"/>
        </w:rPr>
        <w:t>3</w:t>
      </w:r>
      <w:r w:rsidR="00657390">
        <w:rPr>
          <w:sz w:val="28"/>
          <w:szCs w:val="28"/>
        </w:rPr>
        <w:t xml:space="preserve"> квартале 2017 года</w:t>
      </w:r>
      <w:r w:rsidR="000433EA">
        <w:rPr>
          <w:sz w:val="28"/>
          <w:szCs w:val="28"/>
        </w:rPr>
        <w:t xml:space="preserve"> </w:t>
      </w:r>
      <w:r w:rsidR="0013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 w:rsidR="00C8527C">
        <w:rPr>
          <w:sz w:val="28"/>
          <w:szCs w:val="28"/>
        </w:rPr>
        <w:t xml:space="preserve">Администрации </w:t>
      </w:r>
      <w:r w:rsidR="00157853">
        <w:rPr>
          <w:sz w:val="28"/>
          <w:szCs w:val="28"/>
        </w:rPr>
        <w:t>Екатериновского</w:t>
      </w:r>
      <w:r w:rsidR="00BD5469">
        <w:rPr>
          <w:sz w:val="28"/>
          <w:szCs w:val="28"/>
        </w:rPr>
        <w:t xml:space="preserve"> сельского поселения</w:t>
      </w:r>
      <w:r w:rsidR="002209A3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</w:t>
      </w:r>
      <w:r w:rsidR="003833A0"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проведено </w:t>
      </w:r>
      <w:r w:rsidR="00657390">
        <w:rPr>
          <w:b/>
          <w:sz w:val="28"/>
          <w:szCs w:val="28"/>
        </w:rPr>
        <w:t>1</w:t>
      </w:r>
      <w:r w:rsidR="00EE2927">
        <w:rPr>
          <w:b/>
          <w:sz w:val="28"/>
          <w:szCs w:val="28"/>
        </w:rPr>
        <w:t>0</w:t>
      </w:r>
      <w:r w:rsidR="000433EA">
        <w:rPr>
          <w:b/>
          <w:sz w:val="28"/>
          <w:szCs w:val="28"/>
        </w:rPr>
        <w:t xml:space="preserve"> </w:t>
      </w:r>
      <w:r w:rsidR="003833A0" w:rsidRPr="003833A0">
        <w:rPr>
          <w:b/>
          <w:sz w:val="28"/>
          <w:szCs w:val="28"/>
        </w:rPr>
        <w:t>личных прием</w:t>
      </w:r>
      <w:r w:rsidR="00EB0F05">
        <w:rPr>
          <w:b/>
          <w:sz w:val="28"/>
          <w:szCs w:val="28"/>
        </w:rPr>
        <w:t>ов</w:t>
      </w:r>
      <w:r w:rsidR="003833A0">
        <w:rPr>
          <w:sz w:val="28"/>
          <w:szCs w:val="28"/>
        </w:rPr>
        <w:t>, на которых</w:t>
      </w:r>
      <w:r w:rsidR="002209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 </w:t>
      </w:r>
      <w:r w:rsidR="00657390">
        <w:rPr>
          <w:b/>
          <w:sz w:val="28"/>
          <w:szCs w:val="28"/>
        </w:rPr>
        <w:t>1</w:t>
      </w:r>
      <w:r w:rsidR="00EE2927">
        <w:rPr>
          <w:b/>
          <w:sz w:val="28"/>
          <w:szCs w:val="28"/>
        </w:rPr>
        <w:t>0</w:t>
      </w:r>
      <w:r w:rsidR="00E96007">
        <w:rPr>
          <w:b/>
          <w:sz w:val="28"/>
          <w:szCs w:val="28"/>
        </w:rPr>
        <w:t> заявител</w:t>
      </w:r>
      <w:r w:rsidR="00136A18">
        <w:rPr>
          <w:b/>
          <w:sz w:val="28"/>
          <w:szCs w:val="28"/>
        </w:rPr>
        <w:t>ей</w:t>
      </w:r>
      <w:r w:rsidR="003833A0" w:rsidRPr="005273AB">
        <w:rPr>
          <w:sz w:val="28"/>
          <w:szCs w:val="28"/>
        </w:rPr>
        <w:t>.</w:t>
      </w:r>
    </w:p>
    <w:p w:rsidR="00021B82" w:rsidRDefault="00C7272B" w:rsidP="00D812EF">
      <w:pPr>
        <w:ind w:firstLine="709"/>
        <w:jc w:val="both"/>
        <w:rPr>
          <w:sz w:val="28"/>
          <w:szCs w:val="28"/>
        </w:rPr>
      </w:pPr>
      <w:r w:rsidRPr="00703341">
        <w:rPr>
          <w:sz w:val="28"/>
          <w:szCs w:val="28"/>
        </w:rPr>
        <w:t>В целях более полного изучения и удовлетворения нужд и запросов граждан</w:t>
      </w:r>
      <w:r w:rsidR="00897B02">
        <w:rPr>
          <w:sz w:val="28"/>
          <w:szCs w:val="28"/>
        </w:rPr>
        <w:t xml:space="preserve"> </w:t>
      </w:r>
      <w:r w:rsidR="00BD5469" w:rsidRPr="00703341">
        <w:rPr>
          <w:sz w:val="28"/>
          <w:szCs w:val="28"/>
        </w:rPr>
        <w:t xml:space="preserve">Глава </w:t>
      </w:r>
      <w:r w:rsidR="00C8527C">
        <w:rPr>
          <w:sz w:val="28"/>
          <w:szCs w:val="28"/>
        </w:rPr>
        <w:t xml:space="preserve">Администрации </w:t>
      </w:r>
      <w:r w:rsidR="00157853">
        <w:rPr>
          <w:sz w:val="28"/>
          <w:szCs w:val="28"/>
        </w:rPr>
        <w:t>Екатериновского</w:t>
      </w:r>
      <w:r w:rsidR="00BD5469" w:rsidRPr="00703341">
        <w:rPr>
          <w:sz w:val="28"/>
          <w:szCs w:val="28"/>
        </w:rPr>
        <w:t xml:space="preserve"> сельского поселения прием граждан  согласно графика ведет  </w:t>
      </w:r>
      <w:r w:rsidR="00657390">
        <w:rPr>
          <w:sz w:val="28"/>
          <w:szCs w:val="28"/>
        </w:rPr>
        <w:t>каждый вторник с 09:00 до 13:00 часов в с. Екатериновка</w:t>
      </w:r>
      <w:r w:rsidR="006D1E46">
        <w:rPr>
          <w:color w:val="000000"/>
          <w:sz w:val="28"/>
          <w:szCs w:val="28"/>
        </w:rPr>
        <w:t xml:space="preserve"> </w:t>
      </w:r>
      <w:r w:rsidR="00BD5469" w:rsidRPr="00703341">
        <w:rPr>
          <w:color w:val="000000"/>
          <w:sz w:val="28"/>
          <w:szCs w:val="28"/>
        </w:rPr>
        <w:t xml:space="preserve"> </w:t>
      </w:r>
      <w:r w:rsidR="00BD5469" w:rsidRPr="00703341">
        <w:rPr>
          <w:sz w:val="28"/>
          <w:szCs w:val="28"/>
        </w:rPr>
        <w:t>а также по необходимости  в течение  недели. Специалистами  администрации жители села принимаются  так же  ежедневно, в рабочие дни</w:t>
      </w:r>
      <w:r w:rsidRPr="00703341">
        <w:rPr>
          <w:sz w:val="28"/>
          <w:szCs w:val="28"/>
        </w:rPr>
        <w:t xml:space="preserve">. </w:t>
      </w:r>
      <w:r w:rsidR="00703341">
        <w:rPr>
          <w:sz w:val="28"/>
          <w:szCs w:val="28"/>
        </w:rPr>
        <w:t xml:space="preserve">Проводятся сходы граждан. </w:t>
      </w:r>
      <w:r w:rsidR="00D812EF" w:rsidRPr="00703341">
        <w:rPr>
          <w:sz w:val="28"/>
          <w:szCs w:val="28"/>
        </w:rPr>
        <w:t>Информация о дате, месте и времени приема</w:t>
      </w:r>
      <w:r w:rsidR="00357268">
        <w:rPr>
          <w:sz w:val="28"/>
          <w:szCs w:val="28"/>
        </w:rPr>
        <w:t xml:space="preserve"> граждан</w:t>
      </w:r>
      <w:r w:rsidR="00897B02">
        <w:rPr>
          <w:sz w:val="28"/>
          <w:szCs w:val="28"/>
        </w:rPr>
        <w:t xml:space="preserve"> </w:t>
      </w:r>
      <w:r w:rsidRPr="00162848">
        <w:rPr>
          <w:sz w:val="28"/>
          <w:szCs w:val="28"/>
        </w:rPr>
        <w:t>размещ</w:t>
      </w:r>
      <w:r w:rsidR="00E10243" w:rsidRPr="00162848">
        <w:rPr>
          <w:sz w:val="28"/>
          <w:szCs w:val="28"/>
        </w:rPr>
        <w:t>аются</w:t>
      </w:r>
      <w:r w:rsidRPr="00162848">
        <w:rPr>
          <w:sz w:val="28"/>
          <w:szCs w:val="28"/>
        </w:rPr>
        <w:t xml:space="preserve"> на </w:t>
      </w:r>
      <w:r w:rsidR="00E10243" w:rsidRPr="00162848">
        <w:rPr>
          <w:sz w:val="28"/>
          <w:szCs w:val="28"/>
        </w:rPr>
        <w:t>официальном с</w:t>
      </w:r>
      <w:r w:rsidR="00D812EF">
        <w:rPr>
          <w:sz w:val="28"/>
          <w:szCs w:val="28"/>
        </w:rPr>
        <w:t>айте Администрации</w:t>
      </w:r>
      <w:r w:rsidR="00897B02">
        <w:rPr>
          <w:sz w:val="28"/>
          <w:szCs w:val="28"/>
        </w:rPr>
        <w:t xml:space="preserve"> </w:t>
      </w:r>
      <w:r w:rsidR="00157853">
        <w:rPr>
          <w:sz w:val="28"/>
          <w:szCs w:val="28"/>
        </w:rPr>
        <w:t>Екатериновского</w:t>
      </w:r>
      <w:r w:rsidR="00703341">
        <w:rPr>
          <w:sz w:val="28"/>
          <w:szCs w:val="28"/>
        </w:rPr>
        <w:t xml:space="preserve"> сельского поселения</w:t>
      </w:r>
      <w:r w:rsidR="00897B02">
        <w:rPr>
          <w:sz w:val="28"/>
          <w:szCs w:val="28"/>
        </w:rPr>
        <w:t xml:space="preserve"> </w:t>
      </w:r>
      <w:r w:rsidR="00D812EF">
        <w:rPr>
          <w:sz w:val="28"/>
          <w:szCs w:val="28"/>
        </w:rPr>
        <w:t>Сальского</w:t>
      </w:r>
      <w:r w:rsidR="00E10243" w:rsidRPr="00162848">
        <w:rPr>
          <w:sz w:val="28"/>
          <w:szCs w:val="28"/>
        </w:rPr>
        <w:t xml:space="preserve"> района</w:t>
      </w:r>
      <w:r w:rsidR="00703341">
        <w:rPr>
          <w:sz w:val="28"/>
          <w:szCs w:val="28"/>
        </w:rPr>
        <w:t xml:space="preserve"> (</w:t>
      </w:r>
      <w:r w:rsidR="00357268">
        <w:rPr>
          <w:sz w:val="28"/>
          <w:szCs w:val="28"/>
          <w:lang w:val="en-US"/>
        </w:rPr>
        <w:t>www</w:t>
      </w:r>
      <w:r w:rsidR="00357268" w:rsidRPr="00357268">
        <w:rPr>
          <w:sz w:val="28"/>
          <w:szCs w:val="28"/>
        </w:rPr>
        <w:t>.</w:t>
      </w:r>
      <w:proofErr w:type="spellStart"/>
      <w:r w:rsidR="00D4493F" w:rsidRPr="00D4493F">
        <w:rPr>
          <w:sz w:val="28"/>
          <w:szCs w:val="28"/>
          <w:lang w:val="en-US"/>
        </w:rPr>
        <w:t>eka</w:t>
      </w:r>
      <w:r w:rsidR="00657390">
        <w:rPr>
          <w:sz w:val="28"/>
          <w:szCs w:val="28"/>
          <w:lang w:val="en-US"/>
        </w:rPr>
        <w:t>te</w:t>
      </w:r>
      <w:r w:rsidR="00D4493F" w:rsidRPr="00D4493F">
        <w:rPr>
          <w:sz w:val="28"/>
          <w:szCs w:val="28"/>
          <w:lang w:val="en-US"/>
        </w:rPr>
        <w:t>ri</w:t>
      </w:r>
      <w:r w:rsidR="00657390">
        <w:rPr>
          <w:sz w:val="28"/>
          <w:szCs w:val="28"/>
          <w:lang w:val="en-US"/>
        </w:rPr>
        <w:t>n</w:t>
      </w:r>
      <w:r w:rsidR="00D4493F" w:rsidRPr="00D4493F">
        <w:rPr>
          <w:sz w:val="28"/>
          <w:szCs w:val="28"/>
          <w:lang w:val="en-US"/>
        </w:rPr>
        <w:t>ovskoe</w:t>
      </w:r>
      <w:proofErr w:type="spellEnd"/>
      <w:r w:rsidR="00703341">
        <w:rPr>
          <w:sz w:val="28"/>
          <w:szCs w:val="28"/>
        </w:rPr>
        <w:t>.</w:t>
      </w:r>
      <w:proofErr w:type="spellStart"/>
      <w:r w:rsidR="00703341">
        <w:rPr>
          <w:sz w:val="28"/>
          <w:szCs w:val="28"/>
          <w:lang w:val="en-US"/>
        </w:rPr>
        <w:t>ru</w:t>
      </w:r>
      <w:proofErr w:type="spellEnd"/>
      <w:r w:rsidR="00703341" w:rsidRP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, </w:t>
      </w:r>
      <w:r w:rsidR="00703341">
        <w:rPr>
          <w:sz w:val="28"/>
          <w:szCs w:val="28"/>
        </w:rPr>
        <w:t xml:space="preserve">на </w:t>
      </w:r>
      <w:r w:rsidRPr="00162848">
        <w:rPr>
          <w:sz w:val="28"/>
          <w:szCs w:val="28"/>
        </w:rPr>
        <w:t xml:space="preserve"> информационных стендах </w:t>
      </w:r>
      <w:r w:rsidR="00E70A2C">
        <w:rPr>
          <w:sz w:val="28"/>
          <w:szCs w:val="28"/>
        </w:rPr>
        <w:t>Екатериновского</w:t>
      </w:r>
      <w:r w:rsidR="00703341">
        <w:rPr>
          <w:sz w:val="28"/>
          <w:szCs w:val="28"/>
        </w:rPr>
        <w:t xml:space="preserve"> сельского поселения во всех населенных пунктах (с. </w:t>
      </w:r>
      <w:r w:rsidR="00E70A2C">
        <w:rPr>
          <w:sz w:val="28"/>
          <w:szCs w:val="28"/>
        </w:rPr>
        <w:t>Екатериновка</w:t>
      </w:r>
      <w:r w:rsidR="00703341">
        <w:rPr>
          <w:sz w:val="28"/>
          <w:szCs w:val="28"/>
        </w:rPr>
        <w:t xml:space="preserve"> с. </w:t>
      </w:r>
      <w:r w:rsidR="00E70A2C">
        <w:rPr>
          <w:sz w:val="28"/>
          <w:szCs w:val="28"/>
        </w:rPr>
        <w:t>Шаблиевка</w:t>
      </w:r>
      <w:r w:rsidR="00703341">
        <w:rPr>
          <w:sz w:val="28"/>
          <w:szCs w:val="28"/>
        </w:rPr>
        <w:t xml:space="preserve">, </w:t>
      </w:r>
      <w:r w:rsidR="00E70A2C">
        <w:rPr>
          <w:sz w:val="28"/>
          <w:szCs w:val="28"/>
        </w:rPr>
        <w:t>с. Новый Маныч, с. Бараники</w:t>
      </w:r>
      <w:r w:rsid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. </w:t>
      </w:r>
    </w:p>
    <w:p w:rsidR="00E62AC0" w:rsidRDefault="00E62AC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="00A05732">
        <w:rPr>
          <w:sz w:val="28"/>
          <w:szCs w:val="28"/>
        </w:rPr>
        <w:t xml:space="preserve"> </w:t>
      </w:r>
      <w:r w:rsidR="00EE2927">
        <w:rPr>
          <w:sz w:val="28"/>
          <w:szCs w:val="28"/>
        </w:rPr>
        <w:t>3</w:t>
      </w:r>
      <w:r w:rsidR="00E36E68">
        <w:rPr>
          <w:sz w:val="28"/>
          <w:szCs w:val="28"/>
        </w:rPr>
        <w:t xml:space="preserve"> квартал 2017 года</w:t>
      </w:r>
      <w:r w:rsidR="00A05732">
        <w:rPr>
          <w:sz w:val="28"/>
          <w:szCs w:val="28"/>
        </w:rPr>
        <w:t xml:space="preserve"> </w:t>
      </w:r>
      <w:r w:rsidR="000503D0" w:rsidRPr="001A6F92">
        <w:rPr>
          <w:sz w:val="28"/>
          <w:szCs w:val="28"/>
        </w:rPr>
        <w:t xml:space="preserve">на </w:t>
      </w:r>
      <w:r>
        <w:rPr>
          <w:sz w:val="28"/>
          <w:szCs w:val="28"/>
        </w:rPr>
        <w:t>рассмотрении в Администрации</w:t>
      </w:r>
      <w:r w:rsidR="007C750E">
        <w:rPr>
          <w:sz w:val="28"/>
          <w:szCs w:val="28"/>
        </w:rPr>
        <w:t xml:space="preserve"> </w:t>
      </w:r>
      <w:r w:rsidR="001E7C2E">
        <w:rPr>
          <w:sz w:val="28"/>
          <w:szCs w:val="28"/>
        </w:rPr>
        <w:t>Екатериновского</w:t>
      </w:r>
      <w:r w:rsidR="007C750E">
        <w:rPr>
          <w:sz w:val="28"/>
          <w:szCs w:val="28"/>
        </w:rPr>
        <w:t xml:space="preserve"> </w:t>
      </w:r>
      <w:r w:rsidR="00AE0A5F">
        <w:rPr>
          <w:sz w:val="28"/>
          <w:szCs w:val="28"/>
        </w:rPr>
        <w:t>сельского поселения</w:t>
      </w:r>
      <w:r w:rsidR="007C7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находились </w:t>
      </w:r>
      <w:r w:rsidR="00EE2927">
        <w:rPr>
          <w:sz w:val="28"/>
          <w:szCs w:val="28"/>
        </w:rPr>
        <w:t xml:space="preserve">17 </w:t>
      </w:r>
      <w:r>
        <w:rPr>
          <w:sz w:val="28"/>
          <w:szCs w:val="28"/>
        </w:rPr>
        <w:t>обращен</w:t>
      </w:r>
      <w:r w:rsidR="00E36E68">
        <w:rPr>
          <w:sz w:val="28"/>
          <w:szCs w:val="28"/>
        </w:rPr>
        <w:t>и</w:t>
      </w:r>
      <w:r w:rsidR="00EE2927">
        <w:rPr>
          <w:sz w:val="28"/>
          <w:szCs w:val="28"/>
        </w:rPr>
        <w:t>й</w:t>
      </w:r>
      <w:r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3083"/>
        <w:gridCol w:w="1417"/>
        <w:gridCol w:w="1276"/>
      </w:tblGrid>
      <w:tr w:rsidR="00EE2927" w:rsidTr="00EE29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E2927" w:rsidRDefault="00EE2927" w:rsidP="0050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рассмотрения</w:t>
            </w:r>
          </w:p>
          <w:p w:rsidR="00EE2927" w:rsidRDefault="00EE2927" w:rsidP="0050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E2927" w:rsidRDefault="00EE2927" w:rsidP="00E36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927" w:rsidRDefault="00EE2927" w:rsidP="00EE29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2016 г.</w:t>
            </w:r>
          </w:p>
        </w:tc>
      </w:tr>
      <w:tr w:rsidR="00EE2927" w:rsidTr="00EE29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EE2927" w:rsidRDefault="00EE2927" w:rsidP="00EE2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(53%)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927" w:rsidRDefault="00EE2927" w:rsidP="0028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E2927" w:rsidRDefault="00EE2927" w:rsidP="0028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(40%)</w:t>
            </w:r>
          </w:p>
        </w:tc>
      </w:tr>
      <w:tr w:rsidR="00EE2927" w:rsidTr="00EE29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  <w:p w:rsidR="00EE2927" w:rsidRDefault="00EE2927" w:rsidP="00EE29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(53%)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927" w:rsidRDefault="00EE2927" w:rsidP="005055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  <w:p w:rsidR="00EE2927" w:rsidRDefault="00EE2927" w:rsidP="005055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(5%)</w:t>
            </w:r>
          </w:p>
        </w:tc>
      </w:tr>
      <w:tr w:rsidR="00EE2927" w:rsidTr="00EE29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E2927" w:rsidRDefault="00EE2927" w:rsidP="00EE2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(47%)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927" w:rsidRDefault="00EE2927" w:rsidP="00FD0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E2927" w:rsidRDefault="00EE2927" w:rsidP="00FD0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(60%)</w:t>
            </w:r>
          </w:p>
        </w:tc>
      </w:tr>
      <w:tr w:rsidR="00EE2927" w:rsidTr="00EE29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927" w:rsidRDefault="00EE2927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5"/>
        <w:gridCol w:w="854"/>
        <w:gridCol w:w="22"/>
      </w:tblGrid>
      <w:tr w:rsidR="007761F2" w:rsidTr="00C36220">
        <w:trPr>
          <w:trHeight w:val="5059"/>
        </w:trPr>
        <w:tc>
          <w:tcPr>
            <w:tcW w:w="9155" w:type="dxa"/>
          </w:tcPr>
          <w:p w:rsidR="00765EDD" w:rsidRDefault="00765E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  <w:p w:rsidR="007761F2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  <w:tbl>
            <w:tblPr>
              <w:tblW w:w="5834" w:type="dxa"/>
              <w:tblLook w:val="04A0" w:firstRow="1" w:lastRow="0" w:firstColumn="1" w:lastColumn="0" w:noHBand="0" w:noVBand="1"/>
            </w:tblPr>
            <w:tblGrid>
              <w:gridCol w:w="445"/>
              <w:gridCol w:w="7356"/>
              <w:gridCol w:w="222"/>
              <w:gridCol w:w="14"/>
              <w:gridCol w:w="208"/>
              <w:gridCol w:w="28"/>
              <w:gridCol w:w="194"/>
              <w:gridCol w:w="28"/>
              <w:gridCol w:w="194"/>
              <w:gridCol w:w="28"/>
              <w:gridCol w:w="222"/>
            </w:tblGrid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978D3" w:rsidRDefault="009978D3" w:rsidP="00847244">
                  <w:pPr>
                    <w:jc w:val="right"/>
                    <w:rPr>
                      <w:rFonts w:ascii="Calibri" w:hAnsi="Calibri"/>
                      <w:b/>
                      <w:bCs/>
                      <w:noProof/>
                      <w:sz w:val="20"/>
                      <w:szCs w:val="20"/>
                    </w:rPr>
                  </w:pPr>
                </w:p>
                <w:p w:rsidR="00847244" w:rsidRPr="00847244" w:rsidRDefault="00C36220" w:rsidP="00C36220">
                  <w:pPr>
                    <w:jc w:val="center"/>
                    <w:rPr>
                      <w:rFonts w:ascii="Calibri" w:hAnsi="Calibri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4D5A2097" wp14:editId="15A113F4">
                        <wp:extent cx="4514850" cy="2085975"/>
                        <wp:effectExtent l="0" t="0" r="19050" b="9525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22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</w:tblGrid>
                  <w:tr w:rsidR="00847244" w:rsidRPr="00847244" w:rsidTr="00765EDD">
                    <w:trPr>
                      <w:trHeight w:val="84"/>
                      <w:tblCellSpacing w:w="0" w:type="dxa"/>
                    </w:trPr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47244" w:rsidRPr="00847244" w:rsidRDefault="00847244" w:rsidP="0084724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C36220" w:rsidP="00C36220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Cs w:val="28"/>
                    </w:rPr>
                    <w:t>Относительные показатели (%)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C36220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47244" w:rsidRPr="00512C84" w:rsidRDefault="00847244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876" w:type="dxa"/>
            <w:gridSpan w:val="2"/>
          </w:tcPr>
          <w:p w:rsidR="007761F2" w:rsidRPr="00512C84" w:rsidRDefault="003F491A" w:rsidP="00847244">
            <w:pPr>
              <w:pStyle w:val="3"/>
              <w:tabs>
                <w:tab w:val="left" w:pos="660"/>
              </w:tabs>
              <w:spacing w:after="0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</w:p>
        </w:tc>
      </w:tr>
      <w:tr w:rsidR="007761F2" w:rsidTr="00C36220">
        <w:trPr>
          <w:gridAfter w:val="1"/>
          <w:wAfter w:w="22" w:type="dxa"/>
          <w:trHeight w:val="476"/>
        </w:trPr>
        <w:tc>
          <w:tcPr>
            <w:tcW w:w="9155" w:type="dxa"/>
          </w:tcPr>
          <w:p w:rsidR="00C36220" w:rsidRPr="00C36220" w:rsidRDefault="00C36220" w:rsidP="00C3622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F873BF9" wp14:editId="6214B278">
                  <wp:extent cx="4514850" cy="2085975"/>
                  <wp:effectExtent l="0" t="0" r="19050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847244" w:rsidRDefault="00847244" w:rsidP="0084724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4337B" w:rsidRDefault="00A4337B" w:rsidP="00F54C1B">
      <w:pPr>
        <w:jc w:val="both"/>
        <w:rPr>
          <w:sz w:val="28"/>
          <w:szCs w:val="28"/>
        </w:rPr>
      </w:pPr>
    </w:p>
    <w:p w:rsidR="00A407EB" w:rsidRDefault="00A407EB" w:rsidP="00F54C1B">
      <w:pPr>
        <w:jc w:val="both"/>
        <w:rPr>
          <w:sz w:val="28"/>
          <w:szCs w:val="28"/>
        </w:rPr>
      </w:pPr>
    </w:p>
    <w:p w:rsidR="00C36220" w:rsidRDefault="00C36220" w:rsidP="00F54C1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Администрации</w:t>
      </w:r>
    </w:p>
    <w:p w:rsidR="00C36220" w:rsidRDefault="00C36220" w:rsidP="00F54C1B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Куценко А.С.</w:t>
      </w:r>
    </w:p>
    <w:sectPr w:rsidR="00C36220" w:rsidSect="00C36220">
      <w:footerReference w:type="default" r:id="rId20"/>
      <w:pgSz w:w="11906" w:h="16838"/>
      <w:pgMar w:top="709" w:right="99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9D" w:rsidRDefault="0054259D">
      <w:r>
        <w:separator/>
      </w:r>
    </w:p>
  </w:endnote>
  <w:endnote w:type="continuationSeparator" w:id="0">
    <w:p w:rsidR="0054259D" w:rsidRDefault="0054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F9" w:rsidRDefault="00D03A94">
    <w:pPr>
      <w:pStyle w:val="a3"/>
      <w:jc w:val="right"/>
    </w:pPr>
    <w:r>
      <w:fldChar w:fldCharType="begin"/>
    </w:r>
    <w:r w:rsidR="005260F9">
      <w:instrText xml:space="preserve"> PAGE   \* MERGEFORMAT </w:instrText>
    </w:r>
    <w:r>
      <w:fldChar w:fldCharType="separate"/>
    </w:r>
    <w:r w:rsidR="00A407EB">
      <w:rPr>
        <w:noProof/>
      </w:rPr>
      <w:t>6</w:t>
    </w:r>
    <w:r>
      <w:rPr>
        <w:noProof/>
      </w:rPr>
      <w:fldChar w:fldCharType="end"/>
    </w:r>
  </w:p>
  <w:p w:rsidR="005260F9" w:rsidRDefault="005260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9D" w:rsidRDefault="0054259D">
      <w:r>
        <w:separator/>
      </w:r>
    </w:p>
  </w:footnote>
  <w:footnote w:type="continuationSeparator" w:id="0">
    <w:p w:rsidR="0054259D" w:rsidRDefault="0054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21B82"/>
    <w:rsid w:val="0003534B"/>
    <w:rsid w:val="00041114"/>
    <w:rsid w:val="000433EA"/>
    <w:rsid w:val="00046F58"/>
    <w:rsid w:val="000503D0"/>
    <w:rsid w:val="000710DE"/>
    <w:rsid w:val="00083EA5"/>
    <w:rsid w:val="000936BB"/>
    <w:rsid w:val="0009402B"/>
    <w:rsid w:val="000B3B53"/>
    <w:rsid w:val="000B5A7C"/>
    <w:rsid w:val="000C2776"/>
    <w:rsid w:val="000C2954"/>
    <w:rsid w:val="000C7106"/>
    <w:rsid w:val="000D1170"/>
    <w:rsid w:val="000D1B5F"/>
    <w:rsid w:val="000E18CF"/>
    <w:rsid w:val="000F30AA"/>
    <w:rsid w:val="000F3553"/>
    <w:rsid w:val="001009BE"/>
    <w:rsid w:val="00136A18"/>
    <w:rsid w:val="00145BBB"/>
    <w:rsid w:val="00150F85"/>
    <w:rsid w:val="00153A48"/>
    <w:rsid w:val="00153B90"/>
    <w:rsid w:val="00157853"/>
    <w:rsid w:val="00162848"/>
    <w:rsid w:val="001640A8"/>
    <w:rsid w:val="00171AE7"/>
    <w:rsid w:val="00172611"/>
    <w:rsid w:val="00173224"/>
    <w:rsid w:val="001766B8"/>
    <w:rsid w:val="00183E38"/>
    <w:rsid w:val="00185F38"/>
    <w:rsid w:val="001A0C7F"/>
    <w:rsid w:val="001A4324"/>
    <w:rsid w:val="001A6F92"/>
    <w:rsid w:val="001B1781"/>
    <w:rsid w:val="001D2327"/>
    <w:rsid w:val="001D2BE7"/>
    <w:rsid w:val="001D31B6"/>
    <w:rsid w:val="001D4F32"/>
    <w:rsid w:val="001D559B"/>
    <w:rsid w:val="001E74D3"/>
    <w:rsid w:val="001E7C2E"/>
    <w:rsid w:val="001F58C7"/>
    <w:rsid w:val="00212BA8"/>
    <w:rsid w:val="0021402C"/>
    <w:rsid w:val="0021500C"/>
    <w:rsid w:val="00216A38"/>
    <w:rsid w:val="00217D47"/>
    <w:rsid w:val="002209A3"/>
    <w:rsid w:val="00245635"/>
    <w:rsid w:val="0025759A"/>
    <w:rsid w:val="00260201"/>
    <w:rsid w:val="00260688"/>
    <w:rsid w:val="002650D4"/>
    <w:rsid w:val="0027645F"/>
    <w:rsid w:val="0027788A"/>
    <w:rsid w:val="00282531"/>
    <w:rsid w:val="00293A62"/>
    <w:rsid w:val="0029517F"/>
    <w:rsid w:val="002A3AB4"/>
    <w:rsid w:val="002B53FE"/>
    <w:rsid w:val="002C26C6"/>
    <w:rsid w:val="002C2AA1"/>
    <w:rsid w:val="002C65B4"/>
    <w:rsid w:val="002D09BF"/>
    <w:rsid w:val="002E32E3"/>
    <w:rsid w:val="002E4232"/>
    <w:rsid w:val="002E627B"/>
    <w:rsid w:val="00301233"/>
    <w:rsid w:val="00316F0A"/>
    <w:rsid w:val="00320ABE"/>
    <w:rsid w:val="00324AFF"/>
    <w:rsid w:val="00350E60"/>
    <w:rsid w:val="00351E5F"/>
    <w:rsid w:val="00352B16"/>
    <w:rsid w:val="00357268"/>
    <w:rsid w:val="00362A43"/>
    <w:rsid w:val="003813DA"/>
    <w:rsid w:val="003816C5"/>
    <w:rsid w:val="003833A0"/>
    <w:rsid w:val="00393B9C"/>
    <w:rsid w:val="003A35FC"/>
    <w:rsid w:val="003A5A87"/>
    <w:rsid w:val="003B6D8B"/>
    <w:rsid w:val="003C313A"/>
    <w:rsid w:val="003D6280"/>
    <w:rsid w:val="003F491A"/>
    <w:rsid w:val="00405412"/>
    <w:rsid w:val="0041110E"/>
    <w:rsid w:val="00432213"/>
    <w:rsid w:val="00433EBA"/>
    <w:rsid w:val="004353DA"/>
    <w:rsid w:val="00435BFB"/>
    <w:rsid w:val="0044071A"/>
    <w:rsid w:val="0045375E"/>
    <w:rsid w:val="0045564F"/>
    <w:rsid w:val="00465A9B"/>
    <w:rsid w:val="0047793C"/>
    <w:rsid w:val="00483C46"/>
    <w:rsid w:val="00491580"/>
    <w:rsid w:val="00491679"/>
    <w:rsid w:val="00494914"/>
    <w:rsid w:val="004B1E3D"/>
    <w:rsid w:val="004B1F04"/>
    <w:rsid w:val="004B27EE"/>
    <w:rsid w:val="004B4A74"/>
    <w:rsid w:val="004B4C5C"/>
    <w:rsid w:val="004B714F"/>
    <w:rsid w:val="004C3997"/>
    <w:rsid w:val="004C43E3"/>
    <w:rsid w:val="004C5BC6"/>
    <w:rsid w:val="004D5A8E"/>
    <w:rsid w:val="004E1126"/>
    <w:rsid w:val="004F30A5"/>
    <w:rsid w:val="004F6438"/>
    <w:rsid w:val="005021A7"/>
    <w:rsid w:val="00511BDC"/>
    <w:rsid w:val="00512C84"/>
    <w:rsid w:val="0051325C"/>
    <w:rsid w:val="00520367"/>
    <w:rsid w:val="0052054A"/>
    <w:rsid w:val="005260F9"/>
    <w:rsid w:val="005273AB"/>
    <w:rsid w:val="00531768"/>
    <w:rsid w:val="00532FBB"/>
    <w:rsid w:val="005415E6"/>
    <w:rsid w:val="0054259D"/>
    <w:rsid w:val="005451BD"/>
    <w:rsid w:val="005518C4"/>
    <w:rsid w:val="00584D31"/>
    <w:rsid w:val="005B4627"/>
    <w:rsid w:val="005C0B8D"/>
    <w:rsid w:val="005D6073"/>
    <w:rsid w:val="005E7071"/>
    <w:rsid w:val="005E78E3"/>
    <w:rsid w:val="005F1F90"/>
    <w:rsid w:val="005F2A96"/>
    <w:rsid w:val="005F595E"/>
    <w:rsid w:val="00603424"/>
    <w:rsid w:val="00604AD1"/>
    <w:rsid w:val="006209EC"/>
    <w:rsid w:val="00624960"/>
    <w:rsid w:val="00624BC9"/>
    <w:rsid w:val="00625563"/>
    <w:rsid w:val="00625FBF"/>
    <w:rsid w:val="00637241"/>
    <w:rsid w:val="00643F57"/>
    <w:rsid w:val="00657390"/>
    <w:rsid w:val="00657DE1"/>
    <w:rsid w:val="00666F8D"/>
    <w:rsid w:val="006738E5"/>
    <w:rsid w:val="00676204"/>
    <w:rsid w:val="006915EB"/>
    <w:rsid w:val="0069404F"/>
    <w:rsid w:val="006A688D"/>
    <w:rsid w:val="006B0200"/>
    <w:rsid w:val="006B0737"/>
    <w:rsid w:val="006B195D"/>
    <w:rsid w:val="006B6DAF"/>
    <w:rsid w:val="006C2F34"/>
    <w:rsid w:val="006C4E8C"/>
    <w:rsid w:val="006D1E46"/>
    <w:rsid w:val="006F2563"/>
    <w:rsid w:val="00703341"/>
    <w:rsid w:val="00713050"/>
    <w:rsid w:val="007155D1"/>
    <w:rsid w:val="00726240"/>
    <w:rsid w:val="00733C43"/>
    <w:rsid w:val="00736044"/>
    <w:rsid w:val="00740FA1"/>
    <w:rsid w:val="007461AB"/>
    <w:rsid w:val="007464AB"/>
    <w:rsid w:val="00752E96"/>
    <w:rsid w:val="00761AF2"/>
    <w:rsid w:val="00761F8D"/>
    <w:rsid w:val="00765EDD"/>
    <w:rsid w:val="007761F2"/>
    <w:rsid w:val="00785DB3"/>
    <w:rsid w:val="007C1F86"/>
    <w:rsid w:val="007C750E"/>
    <w:rsid w:val="007D1C86"/>
    <w:rsid w:val="007D600E"/>
    <w:rsid w:val="007D672F"/>
    <w:rsid w:val="007F6E69"/>
    <w:rsid w:val="00801873"/>
    <w:rsid w:val="008062A7"/>
    <w:rsid w:val="00822E2D"/>
    <w:rsid w:val="00825245"/>
    <w:rsid w:val="00827C14"/>
    <w:rsid w:val="008331BC"/>
    <w:rsid w:val="008332CC"/>
    <w:rsid w:val="00840193"/>
    <w:rsid w:val="00844055"/>
    <w:rsid w:val="0084592F"/>
    <w:rsid w:val="00847244"/>
    <w:rsid w:val="00847DA0"/>
    <w:rsid w:val="00851594"/>
    <w:rsid w:val="0086291C"/>
    <w:rsid w:val="008900F6"/>
    <w:rsid w:val="00897B02"/>
    <w:rsid w:val="008B2B10"/>
    <w:rsid w:val="008D4109"/>
    <w:rsid w:val="008D5B01"/>
    <w:rsid w:val="008F13A7"/>
    <w:rsid w:val="008F6681"/>
    <w:rsid w:val="0090010D"/>
    <w:rsid w:val="00907BE6"/>
    <w:rsid w:val="00923D77"/>
    <w:rsid w:val="00933F72"/>
    <w:rsid w:val="0093793A"/>
    <w:rsid w:val="00940064"/>
    <w:rsid w:val="009430D6"/>
    <w:rsid w:val="00961F85"/>
    <w:rsid w:val="00963BF6"/>
    <w:rsid w:val="00974558"/>
    <w:rsid w:val="00982894"/>
    <w:rsid w:val="00982FB9"/>
    <w:rsid w:val="00984B50"/>
    <w:rsid w:val="009944A7"/>
    <w:rsid w:val="009978D3"/>
    <w:rsid w:val="009B02F2"/>
    <w:rsid w:val="009B4086"/>
    <w:rsid w:val="009B5DDA"/>
    <w:rsid w:val="009C08E2"/>
    <w:rsid w:val="009D6CA0"/>
    <w:rsid w:val="009D79F9"/>
    <w:rsid w:val="009F2116"/>
    <w:rsid w:val="009F51AD"/>
    <w:rsid w:val="00A02362"/>
    <w:rsid w:val="00A05732"/>
    <w:rsid w:val="00A05ED1"/>
    <w:rsid w:val="00A407EB"/>
    <w:rsid w:val="00A4337B"/>
    <w:rsid w:val="00A51E25"/>
    <w:rsid w:val="00A561C3"/>
    <w:rsid w:val="00A5748D"/>
    <w:rsid w:val="00A80B47"/>
    <w:rsid w:val="00A84751"/>
    <w:rsid w:val="00A940F2"/>
    <w:rsid w:val="00AA0974"/>
    <w:rsid w:val="00AA218D"/>
    <w:rsid w:val="00AA36C2"/>
    <w:rsid w:val="00AA7279"/>
    <w:rsid w:val="00AB05C9"/>
    <w:rsid w:val="00AC00DB"/>
    <w:rsid w:val="00AC3EED"/>
    <w:rsid w:val="00AC42C3"/>
    <w:rsid w:val="00AD18EC"/>
    <w:rsid w:val="00AE0A5F"/>
    <w:rsid w:val="00AE1739"/>
    <w:rsid w:val="00AE2816"/>
    <w:rsid w:val="00AE4232"/>
    <w:rsid w:val="00AE74BE"/>
    <w:rsid w:val="00AF06C9"/>
    <w:rsid w:val="00AF2D3D"/>
    <w:rsid w:val="00B117C3"/>
    <w:rsid w:val="00B12BA2"/>
    <w:rsid w:val="00B167E7"/>
    <w:rsid w:val="00B22C6D"/>
    <w:rsid w:val="00B26FEA"/>
    <w:rsid w:val="00B27BCE"/>
    <w:rsid w:val="00B40F28"/>
    <w:rsid w:val="00B52FF1"/>
    <w:rsid w:val="00B55888"/>
    <w:rsid w:val="00B65246"/>
    <w:rsid w:val="00B71699"/>
    <w:rsid w:val="00B77EBD"/>
    <w:rsid w:val="00B81890"/>
    <w:rsid w:val="00B84D09"/>
    <w:rsid w:val="00B91E27"/>
    <w:rsid w:val="00B97E11"/>
    <w:rsid w:val="00BA3D62"/>
    <w:rsid w:val="00BB4A5B"/>
    <w:rsid w:val="00BD5469"/>
    <w:rsid w:val="00BD7F57"/>
    <w:rsid w:val="00BE638E"/>
    <w:rsid w:val="00BF2222"/>
    <w:rsid w:val="00BF549D"/>
    <w:rsid w:val="00BF5CDB"/>
    <w:rsid w:val="00C0779E"/>
    <w:rsid w:val="00C20C01"/>
    <w:rsid w:val="00C2719C"/>
    <w:rsid w:val="00C36220"/>
    <w:rsid w:val="00C643CF"/>
    <w:rsid w:val="00C7272B"/>
    <w:rsid w:val="00C751F4"/>
    <w:rsid w:val="00C763E5"/>
    <w:rsid w:val="00C81AD5"/>
    <w:rsid w:val="00C8527C"/>
    <w:rsid w:val="00C973D8"/>
    <w:rsid w:val="00CA0B79"/>
    <w:rsid w:val="00CA1498"/>
    <w:rsid w:val="00CA4A01"/>
    <w:rsid w:val="00CA56D5"/>
    <w:rsid w:val="00CB713B"/>
    <w:rsid w:val="00CB7C52"/>
    <w:rsid w:val="00CD5D84"/>
    <w:rsid w:val="00CE3825"/>
    <w:rsid w:val="00CF0611"/>
    <w:rsid w:val="00D03A94"/>
    <w:rsid w:val="00D04D5B"/>
    <w:rsid w:val="00D13109"/>
    <w:rsid w:val="00D145DA"/>
    <w:rsid w:val="00D14AFA"/>
    <w:rsid w:val="00D2225A"/>
    <w:rsid w:val="00D240ED"/>
    <w:rsid w:val="00D30980"/>
    <w:rsid w:val="00D365B9"/>
    <w:rsid w:val="00D4394D"/>
    <w:rsid w:val="00D4493F"/>
    <w:rsid w:val="00D508E6"/>
    <w:rsid w:val="00D523A6"/>
    <w:rsid w:val="00D634A3"/>
    <w:rsid w:val="00D650E0"/>
    <w:rsid w:val="00D71972"/>
    <w:rsid w:val="00D72146"/>
    <w:rsid w:val="00D812EF"/>
    <w:rsid w:val="00DA34A6"/>
    <w:rsid w:val="00DB041D"/>
    <w:rsid w:val="00DB1B56"/>
    <w:rsid w:val="00DB3894"/>
    <w:rsid w:val="00DC234C"/>
    <w:rsid w:val="00DD1011"/>
    <w:rsid w:val="00DD5E02"/>
    <w:rsid w:val="00DE7EA0"/>
    <w:rsid w:val="00DE7F2A"/>
    <w:rsid w:val="00DF6F51"/>
    <w:rsid w:val="00DF7482"/>
    <w:rsid w:val="00E10243"/>
    <w:rsid w:val="00E129D4"/>
    <w:rsid w:val="00E13380"/>
    <w:rsid w:val="00E136FA"/>
    <w:rsid w:val="00E36E68"/>
    <w:rsid w:val="00E4333E"/>
    <w:rsid w:val="00E44072"/>
    <w:rsid w:val="00E52D84"/>
    <w:rsid w:val="00E62AC0"/>
    <w:rsid w:val="00E70A2C"/>
    <w:rsid w:val="00E73443"/>
    <w:rsid w:val="00E76363"/>
    <w:rsid w:val="00E8735F"/>
    <w:rsid w:val="00E91996"/>
    <w:rsid w:val="00E95D6C"/>
    <w:rsid w:val="00E96007"/>
    <w:rsid w:val="00EB0F05"/>
    <w:rsid w:val="00EC7DF3"/>
    <w:rsid w:val="00ED77ED"/>
    <w:rsid w:val="00EE2927"/>
    <w:rsid w:val="00EE3969"/>
    <w:rsid w:val="00EF0FB4"/>
    <w:rsid w:val="00EF6EBD"/>
    <w:rsid w:val="00F03278"/>
    <w:rsid w:val="00F03455"/>
    <w:rsid w:val="00F05CB2"/>
    <w:rsid w:val="00F15DB0"/>
    <w:rsid w:val="00F27CE2"/>
    <w:rsid w:val="00F30FD8"/>
    <w:rsid w:val="00F3236B"/>
    <w:rsid w:val="00F425DD"/>
    <w:rsid w:val="00F50085"/>
    <w:rsid w:val="00F54C1B"/>
    <w:rsid w:val="00F60285"/>
    <w:rsid w:val="00F83AEC"/>
    <w:rsid w:val="00F925EB"/>
    <w:rsid w:val="00F9457F"/>
    <w:rsid w:val="00F955E6"/>
    <w:rsid w:val="00FA09BE"/>
    <w:rsid w:val="00FA20EA"/>
    <w:rsid w:val="00FA531C"/>
    <w:rsid w:val="00FA6308"/>
    <w:rsid w:val="00FA638E"/>
    <w:rsid w:val="00FB0ADB"/>
    <w:rsid w:val="00FB3D30"/>
    <w:rsid w:val="00FB5C75"/>
    <w:rsid w:val="00FD0824"/>
    <w:rsid w:val="00FE2320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4268E-2"/>
          <c:y val="3.6303630363036396E-2"/>
          <c:w val="0.88888888888889239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813E-2"/>
                  <c:y val="-1.8838063846670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9152E-2"/>
                  <c:y val="-3.0075566135628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71E-2"/>
                  <c:y val="-2.3775865226149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кв.2016</c:v>
                </c:pt>
                <c:pt idx="1">
                  <c:v>за 3 кв.2017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20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7241856"/>
        <c:axId val="107243392"/>
        <c:axId val="0"/>
      </c:bar3DChart>
      <c:catAx>
        <c:axId val="10724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243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243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2418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кв.2017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14080"/>
        <c:axId val="112419968"/>
      </c:barChart>
      <c:catAx>
        <c:axId val="112414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2419968"/>
        <c:crosses val="autoZero"/>
        <c:auto val="1"/>
        <c:lblAlgn val="ctr"/>
        <c:lblOffset val="100"/>
        <c:noMultiLvlLbl val="0"/>
      </c:catAx>
      <c:valAx>
        <c:axId val="11241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414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кв.2017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0.47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806528"/>
        <c:axId val="110808064"/>
      </c:barChart>
      <c:catAx>
        <c:axId val="11080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0808064"/>
        <c:crosses val="autoZero"/>
        <c:auto val="1"/>
        <c:lblAlgn val="ctr"/>
        <c:lblOffset val="100"/>
        <c:noMultiLvlLbl val="0"/>
      </c:catAx>
      <c:valAx>
        <c:axId val="110808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080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3кв.2016 г.</c:v>
                </c:pt>
                <c:pt idx="1">
                  <c:v>за 3кв. 2017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7273216"/>
        <c:axId val="107275008"/>
        <c:axId val="0"/>
      </c:bar3DChart>
      <c:catAx>
        <c:axId val="10727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275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275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2732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 2016 год</c:v>
                </c:pt>
                <c:pt idx="1">
                  <c:v>за 3 кв. 2017год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0.3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6596224"/>
        <c:axId val="106597760"/>
        <c:axId val="0"/>
      </c:bar3DChart>
      <c:catAx>
        <c:axId val="10659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6597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597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65962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431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3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 2017</c:v>
                </c:pt>
                <c:pt idx="1">
                  <c:v>за 3 кв. 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 2017</c:v>
                </c:pt>
                <c:pt idx="1">
                  <c:v>за 3 кв. 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 2017</c:v>
                </c:pt>
                <c:pt idx="1">
                  <c:v>за 3 кв. 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7337600"/>
        <c:axId val="107339136"/>
        <c:axId val="0"/>
      </c:bar3DChart>
      <c:catAx>
        <c:axId val="10733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339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339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3376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63"/>
          <c:w val="1"/>
          <c:h val="0.13073435750601237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539110210233621E-2"/>
          <c:y val="2.7030449865095542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47E-2"/>
                  <c:y val="-1.7293467687168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16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кв.2017</c:v>
                </c:pt>
                <c:pt idx="1">
                  <c:v>за 3 кв.2016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41.2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кв.2017</c:v>
                </c:pt>
                <c:pt idx="1">
                  <c:v>за 3 кв.2016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71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кв.2017</c:v>
                </c:pt>
                <c:pt idx="1">
                  <c:v>за 3 кв.2016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58.8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6786176"/>
        <c:axId val="106820736"/>
        <c:axId val="0"/>
      </c:bar3DChart>
      <c:catAx>
        <c:axId val="10678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6820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820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67861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8"/>
          <c:w val="0.99927321778276157"/>
          <c:h val="0.11101995117743148"/>
        </c:manualLayout>
      </c:layout>
      <c:overlay val="0"/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445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40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 2017</c:v>
                </c:pt>
                <c:pt idx="1">
                  <c:v>за 3 кв.2016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248E-2"/>
                  <c:y val="8.5469098123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 2017</c:v>
                </c:pt>
                <c:pt idx="1">
                  <c:v>за 3 кв.2016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 2017</c:v>
                </c:pt>
                <c:pt idx="1">
                  <c:v>за 3 кв.2016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7012096"/>
        <c:axId val="107013632"/>
        <c:axId val="0"/>
      </c:bar3DChart>
      <c:catAx>
        <c:axId val="10701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013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0136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0120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85"/>
          <c:w val="1"/>
          <c:h val="0.13073435750601245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52E-2"/>
                  <c:y val="-1.7293467687168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1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 2017</c:v>
                </c:pt>
                <c:pt idx="1">
                  <c:v>за 3 кв.2016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673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 2017</c:v>
                </c:pt>
                <c:pt idx="1">
                  <c:v>за 3 кв.2016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248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 2017</c:v>
                </c:pt>
                <c:pt idx="1">
                  <c:v>за 3 кв.2016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7206144"/>
        <c:axId val="107207680"/>
        <c:axId val="0"/>
      </c:bar3DChart>
      <c:catAx>
        <c:axId val="10720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20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207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2061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002"/>
          <c:w val="0.99927321778276157"/>
          <c:h val="0.11101995117743148"/>
        </c:manualLayout>
      </c:layout>
      <c:overlay val="0"/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782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3кв. 2017</c:v>
                </c:pt>
                <c:pt idx="1">
                  <c:v>за 3 кв.2016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779776"/>
        <c:axId val="110789760"/>
        <c:axId val="0"/>
      </c:bar3DChart>
      <c:catAx>
        <c:axId val="11077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0789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789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07797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3 кв. 2017</c:v>
                </c:pt>
                <c:pt idx="1">
                  <c:v>за 1 кв.2016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2748800"/>
        <c:axId val="112775168"/>
        <c:axId val="0"/>
      </c:bar3DChart>
      <c:catAx>
        <c:axId val="11274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2775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775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27488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1905-43D1-4B81-945B-B144EAB5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22</cp:revision>
  <cp:lastPrinted>2017-04-13T05:11:00Z</cp:lastPrinted>
  <dcterms:created xsi:type="dcterms:W3CDTF">2016-12-27T07:42:00Z</dcterms:created>
  <dcterms:modified xsi:type="dcterms:W3CDTF">2017-10-19T13:41:00Z</dcterms:modified>
</cp:coreProperties>
</file>